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F6219FD"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097E94">
        <w:rPr>
          <w:b/>
          <w:noProof/>
          <w:sz w:val="24"/>
          <w:lang w:val="en-US"/>
        </w:rPr>
        <w:t>3</w:t>
      </w:r>
      <w:r w:rsidR="00E45DC0">
        <w:rPr>
          <w:b/>
          <w:noProof/>
          <w:sz w:val="24"/>
          <w:lang w:val="en-US"/>
        </w:rPr>
        <w:t>-bis</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361EB3">
        <w:rPr>
          <w:b/>
          <w:noProof/>
          <w:sz w:val="24"/>
          <w:lang w:val="en-US"/>
        </w:rPr>
        <w:t>10190</w:t>
      </w:r>
    </w:p>
    <w:p w14:paraId="351CA33D" w14:textId="1370296A" w:rsidR="00347001" w:rsidRPr="002D2634" w:rsidRDefault="00E45DC0" w:rsidP="00D870B2">
      <w:pPr>
        <w:tabs>
          <w:tab w:val="left" w:pos="1985"/>
        </w:tabs>
        <w:rPr>
          <w:bCs/>
          <w:i/>
          <w:iCs/>
          <w:color w:val="2F5496"/>
          <w:sz w:val="24"/>
          <w:lang w:val="pt-PT"/>
        </w:rPr>
      </w:pPr>
      <w:r>
        <w:rPr>
          <w:rFonts w:ascii="Arial" w:eastAsia="MS Mincho" w:hAnsi="Arial"/>
          <w:b/>
          <w:noProof/>
          <w:sz w:val="24"/>
        </w:rPr>
        <w:t>Xiamen, China, October</w:t>
      </w:r>
      <w:r w:rsidR="00097E94">
        <w:rPr>
          <w:rFonts w:ascii="Arial" w:eastAsia="MS Mincho" w:hAnsi="Arial"/>
          <w:b/>
          <w:noProof/>
          <w:sz w:val="24"/>
        </w:rPr>
        <w:t xml:space="preserve"> </w:t>
      </w:r>
      <w:r>
        <w:rPr>
          <w:rFonts w:ascii="Arial" w:eastAsia="MS Mincho" w:hAnsi="Arial"/>
          <w:b/>
          <w:noProof/>
          <w:sz w:val="24"/>
        </w:rPr>
        <w:t>9</w:t>
      </w:r>
      <w:r w:rsidR="003F7693">
        <w:rPr>
          <w:rFonts w:ascii="Arial" w:eastAsia="MS Mincho" w:hAnsi="Arial"/>
          <w:b/>
          <w:noProof/>
          <w:sz w:val="24"/>
        </w:rPr>
        <w:t xml:space="preserve"> – </w:t>
      </w:r>
      <w:r>
        <w:rPr>
          <w:rFonts w:ascii="Arial" w:eastAsia="MS Mincho" w:hAnsi="Arial"/>
          <w:b/>
          <w:noProof/>
          <w:sz w:val="24"/>
        </w:rPr>
        <w:t>13</w:t>
      </w:r>
      <w:r w:rsidR="003F7693">
        <w:rPr>
          <w:rFonts w:ascii="Arial" w:eastAsia="MS Mincho" w:hAnsi="Arial"/>
          <w:b/>
          <w:noProof/>
          <w:sz w:val="24"/>
        </w:rPr>
        <w:t>,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FE03EA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7F9AE3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52554" w:rsidRPr="00352554">
        <w:rPr>
          <w:rFonts w:ascii="Arial" w:hAnsi="Arial"/>
          <w:sz w:val="24"/>
        </w:rPr>
        <w:t>Connected mode mobility enhancements for mobile IAB</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03C0603D" w:rsidR="00B65E42" w:rsidRDefault="00CB18FB" w:rsidP="0051442A">
      <w:pPr>
        <w:spacing w:before="120" w:after="120"/>
      </w:pPr>
      <w:r>
        <w:t xml:space="preserve">RAN2 achieved the following agreements related to </w:t>
      </w:r>
      <w:r w:rsidR="00AF4907">
        <w:t>RACH-less handover</w:t>
      </w:r>
      <w:r w:rsidR="003418CA">
        <w:t xml:space="preserve"> for mobile IAB</w:t>
      </w:r>
      <w:r w:rsidR="0051442A">
        <w:t xml:space="preserve"> </w:t>
      </w:r>
      <w:r w:rsidR="00D80F5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1797074C" w14:textId="55EFDEB1" w:rsidR="000B69E5" w:rsidRDefault="000B69E5" w:rsidP="00956408">
            <w:pPr>
              <w:pStyle w:val="Doc-text2"/>
              <w:ind w:left="363"/>
              <w:rPr>
                <w:sz w:val="18"/>
                <w:szCs w:val="22"/>
              </w:rPr>
            </w:pPr>
            <w:r w:rsidRPr="000B69E5">
              <w:rPr>
                <w:sz w:val="18"/>
                <w:szCs w:val="22"/>
              </w:rPr>
              <w:t>R2#1</w:t>
            </w:r>
            <w:r w:rsidR="005C3856">
              <w:rPr>
                <w:sz w:val="18"/>
                <w:szCs w:val="22"/>
              </w:rPr>
              <w:t>21</w:t>
            </w:r>
            <w:r w:rsidRPr="000B69E5">
              <w:rPr>
                <w:sz w:val="18"/>
                <w:szCs w:val="22"/>
              </w:rPr>
              <w:t>bis-e</w:t>
            </w:r>
          </w:p>
          <w:p w14:paraId="34882C5D" w14:textId="2C453545" w:rsidR="00395B40" w:rsidRDefault="00956408" w:rsidP="00395B40">
            <w:pPr>
              <w:pStyle w:val="Agreement"/>
              <w:tabs>
                <w:tab w:val="clear" w:pos="-11220"/>
                <w:tab w:val="num" w:pos="1619"/>
              </w:tabs>
              <w:ind w:left="792"/>
            </w:pPr>
            <w:r>
              <w:t xml:space="preserve">RACH-less for </w:t>
            </w:r>
            <w:proofErr w:type="spellStart"/>
            <w:r>
              <w:t>mIAB</w:t>
            </w:r>
            <w:proofErr w:type="spellEnd"/>
            <w:r>
              <w:t xml:space="preserve"> scenario, if agreed in the end, will cover only the case of same-TA.</w:t>
            </w:r>
          </w:p>
          <w:p w14:paraId="2A663CE3" w14:textId="62159487" w:rsidR="00395B40" w:rsidRDefault="00D960A1" w:rsidP="00395B40">
            <w:pPr>
              <w:pStyle w:val="Agreement"/>
              <w:tabs>
                <w:tab w:val="clear" w:pos="-11220"/>
                <w:tab w:val="num" w:pos="1619"/>
              </w:tabs>
              <w:ind w:left="792"/>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6A24A51A" w14:textId="77777777" w:rsidR="00395B40" w:rsidRPr="00395B40" w:rsidRDefault="00395B40" w:rsidP="00395B40">
            <w:pPr>
              <w:pStyle w:val="Doc-text2"/>
              <w:ind w:left="0" w:firstLine="0"/>
            </w:pPr>
          </w:p>
          <w:p w14:paraId="0C895B3E" w14:textId="77777777" w:rsidR="002B7158" w:rsidRPr="000B69E5" w:rsidRDefault="002B7158" w:rsidP="002B7158">
            <w:pPr>
              <w:pStyle w:val="Doc-text2"/>
              <w:ind w:left="0" w:firstLine="0"/>
              <w:rPr>
                <w:sz w:val="18"/>
                <w:szCs w:val="22"/>
              </w:rPr>
            </w:pPr>
          </w:p>
          <w:p w14:paraId="6BA1C847" w14:textId="5B06FA32" w:rsidR="000B69E5" w:rsidRPr="000B69E5" w:rsidRDefault="000B69E5" w:rsidP="000B69E5">
            <w:pPr>
              <w:pStyle w:val="Doc-text2"/>
              <w:ind w:left="363"/>
              <w:rPr>
                <w:sz w:val="18"/>
                <w:szCs w:val="22"/>
              </w:rPr>
            </w:pPr>
            <w:r w:rsidRPr="000B69E5">
              <w:rPr>
                <w:sz w:val="18"/>
                <w:szCs w:val="22"/>
              </w:rPr>
              <w:t>R2#12</w:t>
            </w:r>
            <w:r w:rsidR="009923D6">
              <w:rPr>
                <w:sz w:val="18"/>
                <w:szCs w:val="22"/>
              </w:rPr>
              <w:t>2</w:t>
            </w:r>
          </w:p>
          <w:p w14:paraId="7DA06571" w14:textId="77777777" w:rsidR="00D25A7F" w:rsidRDefault="00D25A7F" w:rsidP="00D25A7F">
            <w:pPr>
              <w:pStyle w:val="Agreement"/>
              <w:tabs>
                <w:tab w:val="clear" w:pos="-11220"/>
                <w:tab w:val="num" w:pos="1619"/>
              </w:tabs>
              <w:ind w:left="792"/>
            </w:pPr>
            <w:r>
              <w:t>RAN2 think that to have a fast handover from UE point of view for legacy UEs it is important that the target cell is known to the UE (detected and measured).</w:t>
            </w:r>
          </w:p>
          <w:p w14:paraId="0D60ACEB" w14:textId="77777777" w:rsidR="00D25A7F" w:rsidRDefault="00D25A7F" w:rsidP="00D25A7F">
            <w:pPr>
              <w:pStyle w:val="Agreement"/>
              <w:tabs>
                <w:tab w:val="clear" w:pos="-11220"/>
                <w:tab w:val="num" w:pos="1619"/>
              </w:tabs>
              <w:ind w:left="792"/>
            </w:pPr>
            <w:r>
              <w:t xml:space="preserve">For RACH-less, if supported, there would need to be a beam indication (in RRC HO command),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50D6796E" w14:textId="77777777" w:rsidR="00D25A7F" w:rsidRPr="00521742" w:rsidRDefault="00D25A7F" w:rsidP="00D25A7F">
            <w:pPr>
              <w:pStyle w:val="Agreement"/>
              <w:tabs>
                <w:tab w:val="clear" w:pos="-11220"/>
                <w:tab w:val="num" w:pos="1619"/>
              </w:tabs>
              <w:ind w:left="792"/>
              <w:rPr>
                <w:lang w:eastAsia="en-US"/>
              </w:rPr>
            </w:pPr>
            <w:r w:rsidRPr="00521742">
              <w:rPr>
                <w:lang w:eastAsia="en-US"/>
              </w:rPr>
              <w:t>for the UL grant and HO completion</w:t>
            </w:r>
            <w:r>
              <w:rPr>
                <w:lang w:eastAsia="en-US"/>
              </w:rPr>
              <w:t xml:space="preserve"> in RACH-less HO</w:t>
            </w:r>
            <w:r w:rsidRPr="00521742">
              <w:rPr>
                <w:lang w:eastAsia="en-US"/>
              </w:rPr>
              <w:t>:</w:t>
            </w:r>
          </w:p>
          <w:p w14:paraId="4EFD446E" w14:textId="77777777" w:rsidR="00D25A7F" w:rsidRPr="00521742" w:rsidRDefault="00D25A7F" w:rsidP="00D25A7F">
            <w:pPr>
              <w:pStyle w:val="Agreement"/>
              <w:numPr>
                <w:ilvl w:val="0"/>
                <w:numId w:val="0"/>
              </w:numPr>
              <w:ind w:left="792"/>
              <w:rPr>
                <w:lang w:eastAsia="en-US"/>
              </w:rPr>
            </w:pPr>
            <w:r w:rsidRPr="00521742">
              <w:rPr>
                <w:lang w:eastAsia="en-US"/>
              </w:rPr>
              <w:t>1. Both type-1 configured grant and dynamic grant are supported</w:t>
            </w:r>
          </w:p>
          <w:p w14:paraId="65371723" w14:textId="77777777" w:rsidR="00D25A7F" w:rsidRPr="00C7287F" w:rsidRDefault="00D25A7F" w:rsidP="00D25A7F">
            <w:pPr>
              <w:pStyle w:val="Agreement"/>
              <w:numPr>
                <w:ilvl w:val="0"/>
                <w:numId w:val="0"/>
              </w:numPr>
              <w:ind w:left="792"/>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6E337B05" w14:textId="77777777" w:rsidR="0057178A" w:rsidRPr="000B69E5" w:rsidRDefault="0057178A" w:rsidP="00D25A7F">
            <w:pPr>
              <w:pStyle w:val="Doc-text2"/>
              <w:ind w:left="0" w:firstLine="0"/>
              <w:rPr>
                <w:sz w:val="18"/>
                <w:szCs w:val="22"/>
              </w:rPr>
            </w:pPr>
          </w:p>
          <w:p w14:paraId="715F0736" w14:textId="5B043E4F" w:rsidR="000B69E5" w:rsidRPr="000B69E5" w:rsidRDefault="000B69E5" w:rsidP="000B69E5">
            <w:pPr>
              <w:pStyle w:val="Doc-text2"/>
              <w:ind w:left="363"/>
              <w:rPr>
                <w:sz w:val="18"/>
                <w:szCs w:val="22"/>
              </w:rPr>
            </w:pPr>
            <w:r w:rsidRPr="000B69E5">
              <w:rPr>
                <w:sz w:val="18"/>
                <w:szCs w:val="22"/>
              </w:rPr>
              <w:t>R2#12</w:t>
            </w:r>
            <w:r w:rsidR="00253909">
              <w:rPr>
                <w:sz w:val="18"/>
                <w:szCs w:val="22"/>
              </w:rPr>
              <w:t>3</w:t>
            </w:r>
          </w:p>
          <w:p w14:paraId="6C799DEB" w14:textId="77777777" w:rsidR="001C332E" w:rsidRDefault="001C332E" w:rsidP="001C332E">
            <w:pPr>
              <w:pStyle w:val="Agreement"/>
              <w:tabs>
                <w:tab w:val="clear" w:pos="-11220"/>
                <w:tab w:val="num" w:pos="1619"/>
              </w:tabs>
              <w:ind w:left="792"/>
            </w:pPr>
            <w:r>
              <w:t xml:space="preserve">RACH-less HO to be supported for UEs connected to a </w:t>
            </w:r>
            <w:proofErr w:type="spellStart"/>
            <w:r>
              <w:t>mIAB</w:t>
            </w:r>
            <w:proofErr w:type="spellEnd"/>
            <w:r>
              <w:t xml:space="preserve"> node (intended case: DU migration)</w:t>
            </w:r>
          </w:p>
          <w:p w14:paraId="10AC2F31" w14:textId="77777777" w:rsidR="001C332E" w:rsidRDefault="001C332E" w:rsidP="001C332E">
            <w:pPr>
              <w:pStyle w:val="Agreement"/>
              <w:tabs>
                <w:tab w:val="clear" w:pos="-11220"/>
                <w:tab w:val="num" w:pos="1619"/>
              </w:tabs>
              <w:ind w:left="792"/>
            </w:pPr>
            <w:r>
              <w:t xml:space="preserve">RACH-less HO for </w:t>
            </w:r>
            <w:proofErr w:type="spellStart"/>
            <w:r>
              <w:t>mIAB</w:t>
            </w:r>
            <w:proofErr w:type="spellEnd"/>
            <w:r>
              <w:t xml:space="preserve"> is expected to reuse most parts from other WI, such as NTN. </w:t>
            </w:r>
          </w:p>
          <w:p w14:paraId="389B3727" w14:textId="77777777" w:rsidR="001C332E" w:rsidRDefault="001C332E" w:rsidP="001C332E">
            <w:pPr>
              <w:pStyle w:val="Agreement"/>
              <w:tabs>
                <w:tab w:val="clear" w:pos="-11220"/>
                <w:tab w:val="num" w:pos="1619"/>
              </w:tabs>
              <w:ind w:left="792"/>
            </w:pPr>
            <w:r>
              <w:t xml:space="preserve">R2 assumes that RACH-less HO for </w:t>
            </w:r>
            <w:proofErr w:type="spellStart"/>
            <w:r>
              <w:t>mIAB</w:t>
            </w:r>
            <w:proofErr w:type="spellEnd"/>
            <w:r>
              <w:t xml:space="preserve"> can largely adopt the steps of the agreed NTN RACH-less HO procedure:</w:t>
            </w:r>
          </w:p>
          <w:p w14:paraId="359FB088" w14:textId="77777777" w:rsidR="001C332E" w:rsidRDefault="001C332E" w:rsidP="001C332E">
            <w:pPr>
              <w:pStyle w:val="Agreement"/>
              <w:numPr>
                <w:ilvl w:val="0"/>
                <w:numId w:val="0"/>
              </w:numPr>
              <w:ind w:left="792"/>
            </w:pPr>
            <w:r>
              <w:t>1. Receive a RACH-less HO command which can include pre-allocated grant optionally</w:t>
            </w:r>
          </w:p>
          <w:p w14:paraId="4A441152" w14:textId="77777777" w:rsidR="001C332E" w:rsidRDefault="001C332E" w:rsidP="001C332E">
            <w:pPr>
              <w:pStyle w:val="Agreement"/>
              <w:numPr>
                <w:ilvl w:val="0"/>
                <w:numId w:val="0"/>
              </w:numPr>
              <w:ind w:left="792"/>
            </w:pPr>
            <w:r>
              <w:t>2. Start time T304 for the target cell (RRC)</w:t>
            </w:r>
          </w:p>
          <w:p w14:paraId="30594E4E" w14:textId="77777777" w:rsidR="001C332E" w:rsidRDefault="001C332E" w:rsidP="001C332E">
            <w:pPr>
              <w:pStyle w:val="Agreement"/>
              <w:numPr>
                <w:ilvl w:val="0"/>
                <w:numId w:val="0"/>
              </w:numPr>
              <w:ind w:left="792"/>
            </w:pPr>
            <w:r>
              <w:t>3. Perform DL and UL synchronization.</w:t>
            </w:r>
          </w:p>
          <w:p w14:paraId="6D1DE62B" w14:textId="77777777" w:rsidR="001C332E" w:rsidRDefault="001C332E" w:rsidP="001C332E">
            <w:pPr>
              <w:pStyle w:val="Agreement"/>
              <w:numPr>
                <w:ilvl w:val="0"/>
                <w:numId w:val="0"/>
              </w:numPr>
              <w:ind w:left="792"/>
            </w:pPr>
            <w:r>
              <w:t>4. Start time alignment timer (MAC)</w:t>
            </w:r>
          </w:p>
          <w:p w14:paraId="2F13E5AD" w14:textId="77777777" w:rsidR="001C332E" w:rsidRDefault="001C332E" w:rsidP="001C332E">
            <w:pPr>
              <w:pStyle w:val="Agreement"/>
              <w:numPr>
                <w:ilvl w:val="0"/>
                <w:numId w:val="0"/>
              </w:numPr>
              <w:ind w:left="792"/>
            </w:pPr>
            <w:r>
              <w:t>5. Monitor target cell PDCCH for dynamic grant if pre-allocated grant is not configured in RACH-less HO command (MAC, PHY)</w:t>
            </w:r>
          </w:p>
          <w:p w14:paraId="295EE09C" w14:textId="77777777" w:rsidR="001C332E" w:rsidRDefault="001C332E" w:rsidP="001C332E">
            <w:pPr>
              <w:pStyle w:val="Agreement"/>
              <w:numPr>
                <w:ilvl w:val="0"/>
                <w:numId w:val="0"/>
              </w:numPr>
              <w:ind w:left="792"/>
            </w:pPr>
            <w:r>
              <w:t xml:space="preserve">6. Send initial UL transmission including </w:t>
            </w:r>
            <w:proofErr w:type="spellStart"/>
            <w:r>
              <w:t>RRCReconfigurationComplete</w:t>
            </w:r>
            <w:proofErr w:type="spellEnd"/>
            <w:r>
              <w:t xml:space="preserve"> message using the available UL grant (RRC, MAC, PHY)</w:t>
            </w:r>
          </w:p>
          <w:p w14:paraId="37DB9471" w14:textId="77777777" w:rsidR="001C332E" w:rsidRDefault="001C332E" w:rsidP="001C332E">
            <w:pPr>
              <w:pStyle w:val="Agreement"/>
              <w:numPr>
                <w:ilvl w:val="0"/>
                <w:numId w:val="0"/>
              </w:numPr>
              <w:ind w:left="792"/>
            </w:pPr>
            <w:r>
              <w:t>7. Consider RACH-less HO is completed upon receiving NW configuration.</w:t>
            </w:r>
          </w:p>
          <w:p w14:paraId="7DDA8FBC" w14:textId="77777777" w:rsidR="001C332E" w:rsidRDefault="001C332E" w:rsidP="001C332E">
            <w:pPr>
              <w:pStyle w:val="Agreement"/>
              <w:numPr>
                <w:ilvl w:val="0"/>
                <w:numId w:val="0"/>
              </w:numPr>
              <w:ind w:left="792"/>
            </w:pPr>
            <w:r>
              <w:t>8. Stop timer T304 for the target cell (RRC).</w:t>
            </w:r>
          </w:p>
          <w:p w14:paraId="080149EE" w14:textId="4B220C4A" w:rsidR="000B69E5" w:rsidRPr="000B69E5" w:rsidRDefault="000B69E5" w:rsidP="00A8101D">
            <w:pPr>
              <w:pStyle w:val="Doc-text2"/>
              <w:ind w:left="0" w:firstLine="0"/>
              <w:rPr>
                <w:sz w:val="18"/>
                <w:szCs w:val="22"/>
              </w:rPr>
            </w:pPr>
          </w:p>
        </w:tc>
      </w:tr>
    </w:tbl>
    <w:p w14:paraId="2EDE4C4C" w14:textId="77777777" w:rsidR="007B27D2" w:rsidRDefault="007B27D2" w:rsidP="007B27D2">
      <w:pPr>
        <w:spacing w:before="120" w:after="120"/>
        <w:rPr>
          <w:lang w:val="en-US"/>
        </w:rPr>
      </w:pPr>
    </w:p>
    <w:p w14:paraId="7D62FD34" w14:textId="725DF8FE" w:rsidR="008D52CA" w:rsidRDefault="008D52CA" w:rsidP="008D52CA">
      <w:pPr>
        <w:spacing w:before="120" w:after="120"/>
      </w:pPr>
      <w:r>
        <w:t>RAN2 achieved the following agreements related to NTN RACH-less handover [1]:</w:t>
      </w:r>
    </w:p>
    <w:tbl>
      <w:tblPr>
        <w:tblStyle w:val="TableGrid"/>
        <w:tblW w:w="0" w:type="auto"/>
        <w:tblLook w:val="04A0" w:firstRow="1" w:lastRow="0" w:firstColumn="1" w:lastColumn="0" w:noHBand="0" w:noVBand="1"/>
      </w:tblPr>
      <w:tblGrid>
        <w:gridCol w:w="9631"/>
      </w:tblGrid>
      <w:tr w:rsidR="006D68C1" w14:paraId="23C3BA95" w14:textId="77777777" w:rsidTr="006D68C1">
        <w:tc>
          <w:tcPr>
            <w:tcW w:w="9631" w:type="dxa"/>
          </w:tcPr>
          <w:p w14:paraId="6AB1FDC9" w14:textId="77777777" w:rsidR="006D68C1" w:rsidRDefault="005455C1" w:rsidP="008D52CA">
            <w:pPr>
              <w:spacing w:before="120" w:after="120"/>
            </w:pPr>
            <w:r>
              <w:lastRenderedPageBreak/>
              <w:t>R2#122</w:t>
            </w:r>
          </w:p>
          <w:p w14:paraId="00042354" w14:textId="69047B41" w:rsidR="00F50F32" w:rsidRDefault="00FD689E" w:rsidP="00F50F32">
            <w:pPr>
              <w:pStyle w:val="Agreement"/>
              <w:tabs>
                <w:tab w:val="clear" w:pos="-11220"/>
                <w:tab w:val="num" w:pos="1619"/>
              </w:tabs>
              <w:ind w:left="792"/>
            </w:pPr>
            <w:r>
              <w:rPr>
                <w:lang w:eastAsia="ja-JP"/>
              </w:rPr>
              <w:t>In NTN RACH-less handover, NW either indicates NTA in the target cell is identical to the source cell, or the NTA explicitly provided by the NW is 0. RAN2 will not discuss the case where NTA does not equal to 0.</w:t>
            </w:r>
          </w:p>
          <w:p w14:paraId="3A91F4E5" w14:textId="77777777" w:rsidR="005455C1" w:rsidRDefault="001A6D44" w:rsidP="008D52CA">
            <w:pPr>
              <w:spacing w:before="120" w:after="120"/>
            </w:pPr>
            <w:r>
              <w:t>R2#123</w:t>
            </w:r>
          </w:p>
          <w:p w14:paraId="2A9A4924" w14:textId="234BD43F" w:rsidR="001A6D44" w:rsidRDefault="0040078B" w:rsidP="001A6D44">
            <w:pPr>
              <w:pStyle w:val="Agreement"/>
              <w:tabs>
                <w:tab w:val="clear" w:pos="-11220"/>
                <w:tab w:val="num" w:pos="1619"/>
              </w:tabs>
              <w:ind w:left="792"/>
              <w:rPr>
                <w:lang w:eastAsia="ja-JP"/>
              </w:rPr>
            </w:pPr>
            <w:r w:rsidRPr="0040078B">
              <w:rPr>
                <w:lang w:eastAsia="ja-JP"/>
              </w:rPr>
              <w:t xml:space="preserve">Single beam can be indicated in HO command to monitor target cell PDCCH for dynamic grant for initial UL </w:t>
            </w:r>
            <w:proofErr w:type="gramStart"/>
            <w:r w:rsidRPr="0040078B">
              <w:rPr>
                <w:lang w:eastAsia="ja-JP"/>
              </w:rPr>
              <w:t>transmission</w:t>
            </w:r>
            <w:proofErr w:type="gramEnd"/>
          </w:p>
          <w:p w14:paraId="5F10EE3A" w14:textId="5A9F0109" w:rsidR="0040078B" w:rsidRDefault="001724DF" w:rsidP="0040078B">
            <w:pPr>
              <w:pStyle w:val="Agreement"/>
              <w:tabs>
                <w:tab w:val="clear" w:pos="-11220"/>
                <w:tab w:val="num" w:pos="1619"/>
              </w:tabs>
              <w:ind w:left="792"/>
              <w:rPr>
                <w:lang w:eastAsia="ja-JP"/>
              </w:rPr>
            </w:pPr>
            <w:r>
              <w:rPr>
                <w:lang w:eastAsia="ja-JP"/>
              </w:rPr>
              <w:t xml:space="preserve">The pre-allocated grant is provided with association to </w:t>
            </w:r>
            <w:proofErr w:type="gramStart"/>
            <w:r>
              <w:rPr>
                <w:lang w:eastAsia="ja-JP"/>
              </w:rPr>
              <w:t>SSBs</w:t>
            </w:r>
            <w:proofErr w:type="gramEnd"/>
          </w:p>
          <w:p w14:paraId="1F7F12DB" w14:textId="77777777" w:rsidR="009F1AC9" w:rsidRDefault="009F1AC9" w:rsidP="009F1AC9">
            <w:pPr>
              <w:pStyle w:val="Agreement"/>
              <w:tabs>
                <w:tab w:val="clear" w:pos="-11220"/>
                <w:tab w:val="num" w:pos="1619"/>
              </w:tabs>
              <w:ind w:left="792"/>
              <w:rPr>
                <w:lang w:eastAsia="ja-JP"/>
              </w:rPr>
            </w:pPr>
            <w:r>
              <w:rPr>
                <w:lang w:eastAsia="ja-JP"/>
              </w:rPr>
              <w:t>The mapping between type-1 CG and SSBs in CG-SDT can be the baseline of how to configure pre-allocated grant mapped to SSBs (can rediscuss in case of different input from RAN1)</w:t>
            </w:r>
          </w:p>
          <w:p w14:paraId="0B526BDF" w14:textId="40474FE1" w:rsidR="001724DF" w:rsidRDefault="00D14AF8" w:rsidP="001724DF">
            <w:pPr>
              <w:pStyle w:val="Agreement"/>
              <w:tabs>
                <w:tab w:val="clear" w:pos="-11220"/>
                <w:tab w:val="num" w:pos="1619"/>
              </w:tabs>
              <w:ind w:left="792"/>
              <w:rPr>
                <w:lang w:eastAsia="ja-JP"/>
              </w:rPr>
            </w:pPr>
            <w:r>
              <w:rPr>
                <w:lang w:eastAsia="ja-JP"/>
              </w:rPr>
              <w:t xml:space="preserve">UE selects an SSB associated to the pre-allocated grant with RSRP above a configured threshold, use the selected SSB and the corresponding UL grant occasions for the initial UL </w:t>
            </w:r>
            <w:proofErr w:type="gramStart"/>
            <w:r>
              <w:rPr>
                <w:lang w:eastAsia="ja-JP"/>
              </w:rPr>
              <w:t>transmission</w:t>
            </w:r>
            <w:proofErr w:type="gramEnd"/>
          </w:p>
          <w:p w14:paraId="5E200F51" w14:textId="112DB9A4" w:rsidR="00D14AF8" w:rsidRDefault="002601A9" w:rsidP="00D14AF8">
            <w:pPr>
              <w:pStyle w:val="Agreement"/>
              <w:tabs>
                <w:tab w:val="clear" w:pos="-11220"/>
                <w:tab w:val="num" w:pos="1619"/>
              </w:tabs>
              <w:ind w:left="792"/>
              <w:rPr>
                <w:lang w:eastAsia="ja-JP"/>
              </w:rPr>
            </w:pPr>
            <w:r>
              <w:rPr>
                <w:lang w:eastAsia="ja-JP"/>
              </w:rPr>
              <w:t xml:space="preserve">The MAC entity applies the N_TA (value 0 or same as source cell) configured in the RACH-less HO command for the PTAG. FFS on when </w:t>
            </w:r>
            <w:proofErr w:type="spellStart"/>
            <w:r>
              <w:rPr>
                <w:lang w:eastAsia="ja-JP"/>
              </w:rPr>
              <w:t>timerAlignmentTimer</w:t>
            </w:r>
            <w:proofErr w:type="spellEnd"/>
            <w:r>
              <w:rPr>
                <w:lang w:eastAsia="ja-JP"/>
              </w:rPr>
              <w:t xml:space="preserve"> associated with this TAG </w:t>
            </w:r>
            <w:proofErr w:type="gramStart"/>
            <w:r>
              <w:rPr>
                <w:lang w:eastAsia="ja-JP"/>
              </w:rPr>
              <w:t>starts</w:t>
            </w:r>
            <w:proofErr w:type="gramEnd"/>
          </w:p>
          <w:p w14:paraId="08363CB6" w14:textId="14F50D6D" w:rsidR="001A6D44" w:rsidRDefault="00DD3000" w:rsidP="00DD3000">
            <w:pPr>
              <w:pStyle w:val="Agreement"/>
              <w:tabs>
                <w:tab w:val="clear" w:pos="-11220"/>
                <w:tab w:val="num" w:pos="1619"/>
              </w:tabs>
              <w:ind w:left="792"/>
              <w:rPr>
                <w:lang w:eastAsia="ja-JP"/>
              </w:rPr>
            </w:pPr>
            <w:r w:rsidRPr="00DD3000">
              <w:rPr>
                <w:lang w:eastAsia="ja-JP"/>
              </w:rPr>
              <w:t>If no SSB mapping to pre-allocated grant has RSRP above the threshold, fallback to RACH HO (with new SSB selection), while T304 is running</w:t>
            </w:r>
          </w:p>
        </w:tc>
      </w:tr>
    </w:tbl>
    <w:p w14:paraId="5242F134" w14:textId="77777777" w:rsidR="00B07057" w:rsidRDefault="00B07057" w:rsidP="00B07057">
      <w:pPr>
        <w:spacing w:before="120" w:after="120"/>
      </w:pPr>
    </w:p>
    <w:p w14:paraId="2C4A749F" w14:textId="32D28B26" w:rsidR="00B07057" w:rsidRDefault="00B07057" w:rsidP="00B07057">
      <w:pPr>
        <w:spacing w:before="120" w:after="120"/>
      </w:pPr>
      <w:r>
        <w:t xml:space="preserve">RAN2 </w:t>
      </w:r>
      <w:r>
        <w:t>achieved the following agreements on</w:t>
      </w:r>
      <w:r>
        <w:t xml:space="preserve"> condT1-based handover for UEs during DU migration</w:t>
      </w:r>
      <w:r>
        <w:t xml:space="preserve"> </w:t>
      </w:r>
      <w:r>
        <w:t>[</w:t>
      </w:r>
      <w:r w:rsidR="00FD6C43">
        <w:t>1</w:t>
      </w:r>
      <w:r>
        <w:t>]:</w:t>
      </w:r>
    </w:p>
    <w:tbl>
      <w:tblPr>
        <w:tblStyle w:val="TableGrid"/>
        <w:tblW w:w="0" w:type="auto"/>
        <w:tblLook w:val="04A0" w:firstRow="1" w:lastRow="0" w:firstColumn="1" w:lastColumn="0" w:noHBand="0" w:noVBand="1"/>
      </w:tblPr>
      <w:tblGrid>
        <w:gridCol w:w="9631"/>
      </w:tblGrid>
      <w:tr w:rsidR="00B07057" w14:paraId="540C3AAD" w14:textId="77777777" w:rsidTr="00674DF5">
        <w:tc>
          <w:tcPr>
            <w:tcW w:w="9631" w:type="dxa"/>
          </w:tcPr>
          <w:p w14:paraId="75E05D18" w14:textId="618ABB22" w:rsidR="00B07057" w:rsidRPr="00B07057" w:rsidRDefault="00B07057" w:rsidP="00B07057">
            <w:pPr>
              <w:pStyle w:val="Agreement"/>
              <w:numPr>
                <w:ilvl w:val="0"/>
                <w:numId w:val="0"/>
              </w:numPr>
              <w:spacing w:after="120"/>
              <w:rPr>
                <w:b w:val="0"/>
                <w:bCs/>
                <w:sz w:val="18"/>
                <w:szCs w:val="22"/>
              </w:rPr>
            </w:pPr>
            <w:r w:rsidRPr="00B07057">
              <w:rPr>
                <w:b w:val="0"/>
                <w:bCs/>
                <w:sz w:val="18"/>
                <w:szCs w:val="22"/>
              </w:rPr>
              <w:t>R2#121bis</w:t>
            </w:r>
          </w:p>
          <w:p w14:paraId="3340B27D" w14:textId="1DB64E23" w:rsidR="00B07057" w:rsidRPr="000A00A4" w:rsidRDefault="00B07057" w:rsidP="00B07057">
            <w:pPr>
              <w:pStyle w:val="Agreement"/>
              <w:tabs>
                <w:tab w:val="clear" w:pos="-11220"/>
                <w:tab w:val="num" w:pos="1619"/>
              </w:tabs>
              <w:spacing w:after="120"/>
              <w:ind w:left="936"/>
              <w:rPr>
                <w:sz w:val="18"/>
                <w:szCs w:val="22"/>
              </w:rPr>
            </w:pPr>
            <w:r w:rsidRPr="00CB66FE">
              <w:t xml:space="preserve">FFS: May support CHO with CondT1 if it is “for free”, </w:t>
            </w:r>
            <w:proofErr w:type="gramStart"/>
            <w:r w:rsidRPr="00CB66FE">
              <w:t>i.e.</w:t>
            </w:r>
            <w:proofErr w:type="gramEnd"/>
            <w:r w:rsidRPr="00CB66FE">
              <w:t xml:space="preserve"> if TS impact is just to slightly modify the description to make it also applicable to TN. </w:t>
            </w:r>
          </w:p>
        </w:tc>
      </w:tr>
    </w:tbl>
    <w:p w14:paraId="088608D5" w14:textId="40A9C8D5" w:rsidR="008003D0" w:rsidRPr="00B15A58" w:rsidRDefault="00573D8D" w:rsidP="006A6AE6">
      <w:pPr>
        <w:spacing w:before="120" w:after="120"/>
      </w:pPr>
      <w:r>
        <w:t xml:space="preserve">This paper discusses </w:t>
      </w:r>
      <w:r w:rsidR="00EB5E5A">
        <w:t xml:space="preserve">the </w:t>
      </w:r>
      <w:r w:rsidR="009B4C40">
        <w:t xml:space="preserve">changes needed to reuse NR </w:t>
      </w:r>
      <w:r w:rsidR="00317B8C">
        <w:t>NTN RACH</w:t>
      </w:r>
      <w:r w:rsidR="00B15A58">
        <w:t xml:space="preserve">-less handover </w:t>
      </w:r>
      <w:r w:rsidR="00B07057">
        <w:t xml:space="preserve">and condT1-based </w:t>
      </w:r>
      <w:r w:rsidR="00752AA4">
        <w:t>handover</w:t>
      </w:r>
      <w:r w:rsidR="00B07057">
        <w:t xml:space="preserve"> </w:t>
      </w:r>
      <w:r w:rsidR="00B15A58">
        <w:t>for mobile IAB.</w:t>
      </w:r>
    </w:p>
    <w:p w14:paraId="64BDC3CE" w14:textId="5B08C34B" w:rsidR="009E05C2" w:rsidRDefault="00CD4C7B" w:rsidP="009E05C2">
      <w:pPr>
        <w:pStyle w:val="Heading1"/>
      </w:pPr>
      <w:r w:rsidRPr="00320A6B">
        <w:t>2</w:t>
      </w:r>
      <w:r w:rsidRPr="00320A6B">
        <w:tab/>
      </w:r>
      <w:r w:rsidR="00DC5480">
        <w:t>Reuse of NR NTN RACH-less Handover</w:t>
      </w:r>
      <w:r w:rsidR="007E126A">
        <w:t xml:space="preserve"> for mobile IAB</w:t>
      </w:r>
    </w:p>
    <w:p w14:paraId="655261ED" w14:textId="48FA2D29" w:rsidR="006A3D3E" w:rsidRDefault="006A3D3E" w:rsidP="006A3D3E">
      <w:pPr>
        <w:pStyle w:val="Heading2"/>
      </w:pPr>
      <w:r>
        <w:t>2.1</w:t>
      </w:r>
      <w:r w:rsidR="00537685">
        <w:tab/>
      </w:r>
      <w:r w:rsidR="008B1D4C">
        <w:t>Timing advance in the target cell</w:t>
      </w:r>
    </w:p>
    <w:p w14:paraId="07552767" w14:textId="77777777" w:rsidR="00CB44E1" w:rsidRDefault="00B17279" w:rsidP="00537685">
      <w:r>
        <w:t xml:space="preserve">RAN2#121bis-e agreed that </w:t>
      </w:r>
      <w:r w:rsidR="00ED3452">
        <w:t xml:space="preserve">RACH-less handover for mobile IAB only covers the scenario of same TA in source and target cells. </w:t>
      </w:r>
      <w:r w:rsidR="00686AD1">
        <w:t xml:space="preserve">On the other hand, </w:t>
      </w:r>
      <w:r w:rsidR="00D353C2">
        <w:t xml:space="preserve">RAN2#122 </w:t>
      </w:r>
      <w:r w:rsidR="00C2350A">
        <w:t xml:space="preserve">agreed an additional scenario for NTN </w:t>
      </w:r>
      <w:r w:rsidR="00686AD1">
        <w:t xml:space="preserve">RACH-less handover </w:t>
      </w:r>
      <w:r w:rsidR="00C2350A">
        <w:t xml:space="preserve">where the network explicitly </w:t>
      </w:r>
      <w:r w:rsidR="00F72FFB">
        <w:t xml:space="preserve">indicates a TA value of zero </w:t>
      </w:r>
      <w:r w:rsidR="00CB44E1">
        <w:t>in the HO command to the UE. This latter scenario does not apply for mobile IAB.</w:t>
      </w:r>
    </w:p>
    <w:p w14:paraId="384A0F90" w14:textId="0779DF88" w:rsidR="00534F52" w:rsidRDefault="002C3CD3" w:rsidP="00537685">
      <w:pPr>
        <w:rPr>
          <w:b/>
          <w:bCs/>
        </w:rPr>
      </w:pPr>
      <w:r>
        <w:rPr>
          <w:b/>
          <w:bCs/>
        </w:rPr>
        <w:t xml:space="preserve">Proposal 1: </w:t>
      </w:r>
      <w:r w:rsidR="002A2720">
        <w:rPr>
          <w:b/>
          <w:bCs/>
        </w:rPr>
        <w:t xml:space="preserve">The case of explicitly indicating a zero TA value in the </w:t>
      </w:r>
      <w:r w:rsidR="00534F52">
        <w:rPr>
          <w:b/>
          <w:bCs/>
        </w:rPr>
        <w:t xml:space="preserve">RACH-less </w:t>
      </w:r>
      <w:r w:rsidR="002A2720">
        <w:rPr>
          <w:b/>
          <w:bCs/>
        </w:rPr>
        <w:t xml:space="preserve">HO command </w:t>
      </w:r>
      <w:r w:rsidR="00B15514">
        <w:rPr>
          <w:b/>
          <w:bCs/>
        </w:rPr>
        <w:t xml:space="preserve">supported by NTN </w:t>
      </w:r>
      <w:r w:rsidR="002A2720">
        <w:rPr>
          <w:b/>
          <w:bCs/>
        </w:rPr>
        <w:t xml:space="preserve">does not </w:t>
      </w:r>
      <w:r w:rsidR="00534F52">
        <w:rPr>
          <w:b/>
          <w:bCs/>
        </w:rPr>
        <w:t>apply for mobile IAB.</w:t>
      </w:r>
    </w:p>
    <w:p w14:paraId="37F69344" w14:textId="77777777" w:rsidR="00BC36DA" w:rsidRDefault="00125E66" w:rsidP="00BC36DA">
      <w:pPr>
        <w:pStyle w:val="Heading2"/>
      </w:pPr>
      <w:r>
        <w:t>2.2</w:t>
      </w:r>
      <w:r>
        <w:tab/>
      </w:r>
      <w:r w:rsidR="008D0BB8">
        <w:t>Beam indication in the</w:t>
      </w:r>
      <w:r w:rsidR="00BC36DA">
        <w:t xml:space="preserve"> HO command</w:t>
      </w:r>
    </w:p>
    <w:p w14:paraId="5AB72CCA" w14:textId="77777777" w:rsidR="001D3740" w:rsidRDefault="00905102" w:rsidP="00537685">
      <w:r>
        <w:t xml:space="preserve">RAN2#122 agreed that </w:t>
      </w:r>
      <w:r w:rsidR="00F8062F">
        <w:t xml:space="preserve">a beam indication </w:t>
      </w:r>
      <w:r w:rsidR="00D92356">
        <w:t xml:space="preserve">for the first </w:t>
      </w:r>
      <w:r w:rsidR="0031600F">
        <w:t>UL transmission/DL reception in the target cell is always carried in the RACH-less HO command for mobile IAB.</w:t>
      </w:r>
      <w:r w:rsidR="001A77E8">
        <w:t xml:space="preserve"> On the other hand, RAN2#123 </w:t>
      </w:r>
      <w:r w:rsidR="00A721CF">
        <w:t xml:space="preserve">agreed two schemes for </w:t>
      </w:r>
      <w:r w:rsidR="006D00E2">
        <w:t xml:space="preserve">beam selection in NTN </w:t>
      </w:r>
      <w:r w:rsidR="001D3740">
        <w:t>RACH-less handover depending on the type of grant for the UE’s first UL transmission:</w:t>
      </w:r>
    </w:p>
    <w:p w14:paraId="1F047C30" w14:textId="607854CC" w:rsidR="000D22B4" w:rsidRDefault="00A77123" w:rsidP="001D3740">
      <w:pPr>
        <w:pStyle w:val="ListParagraph"/>
        <w:numPr>
          <w:ilvl w:val="0"/>
          <w:numId w:val="39"/>
        </w:numPr>
      </w:pPr>
      <w:r w:rsidRPr="00A77123">
        <w:rPr>
          <w:u w:val="single"/>
        </w:rPr>
        <w:t>Scheme 1 f</w:t>
      </w:r>
      <w:r w:rsidR="001D3740" w:rsidRPr="00A77123">
        <w:rPr>
          <w:u w:val="single"/>
        </w:rPr>
        <w:t xml:space="preserve">or </w:t>
      </w:r>
      <w:r w:rsidR="000D22B4" w:rsidRPr="00A77123">
        <w:rPr>
          <w:u w:val="single"/>
        </w:rPr>
        <w:t>dynamic</w:t>
      </w:r>
      <w:r w:rsidR="000D22B4" w:rsidRPr="000D22B4">
        <w:rPr>
          <w:u w:val="single"/>
        </w:rPr>
        <w:t xml:space="preserve"> grant</w:t>
      </w:r>
      <w:r>
        <w:t xml:space="preserve">: </w:t>
      </w:r>
      <w:r w:rsidR="000D22B4">
        <w:t>the beam for monitoring PDCCH from the target cell is provided in the HO command</w:t>
      </w:r>
      <w:r w:rsidR="00486314">
        <w:t>.</w:t>
      </w:r>
    </w:p>
    <w:p w14:paraId="0E23FD15" w14:textId="1784AF21" w:rsidR="00A11D1D" w:rsidRDefault="00A77123" w:rsidP="002470F3">
      <w:pPr>
        <w:pStyle w:val="ListParagraph"/>
        <w:numPr>
          <w:ilvl w:val="0"/>
          <w:numId w:val="39"/>
        </w:numPr>
      </w:pPr>
      <w:r w:rsidRPr="00A77123">
        <w:rPr>
          <w:u w:val="single"/>
        </w:rPr>
        <w:t>Scheme 2 for</w:t>
      </w:r>
      <w:r w:rsidR="000D22B4" w:rsidRPr="00A77123">
        <w:rPr>
          <w:u w:val="single"/>
        </w:rPr>
        <w:t xml:space="preserve"> pre</w:t>
      </w:r>
      <w:r w:rsidR="000D22B4" w:rsidRPr="000D22B4">
        <w:rPr>
          <w:u w:val="single"/>
        </w:rPr>
        <w:t>-allocated grant</w:t>
      </w:r>
      <w:r>
        <w:t xml:space="preserve">: </w:t>
      </w:r>
      <w:r w:rsidR="00C519F0">
        <w:t xml:space="preserve">the UE receives a mapping between </w:t>
      </w:r>
      <w:r w:rsidR="002B4DF3">
        <w:t xml:space="preserve">the pre-allocated UL grant occasions and SSBs, </w:t>
      </w:r>
      <w:r w:rsidR="002470F3">
        <w:t>where the UE selects an SSB above a configured threshold and uses the corresponding UL grant occasion for its first UL transmission.</w:t>
      </w:r>
    </w:p>
    <w:p w14:paraId="6F772C31" w14:textId="6BA1BF5C" w:rsidR="00986FC7" w:rsidRDefault="00A77123" w:rsidP="00A11D1D">
      <w:r>
        <w:lastRenderedPageBreak/>
        <w:t xml:space="preserve">Scheme 1 </w:t>
      </w:r>
      <w:r w:rsidR="004F114C">
        <w:t>is clearly compliant with the</w:t>
      </w:r>
      <w:r w:rsidR="00303515">
        <w:t xml:space="preserve"> agreement </w:t>
      </w:r>
      <w:r w:rsidR="008A028F">
        <w:t>on</w:t>
      </w:r>
      <w:r w:rsidR="00303515">
        <w:t xml:space="preserve"> beam indication for</w:t>
      </w:r>
      <w:r w:rsidR="005937D0">
        <w:t xml:space="preserve"> </w:t>
      </w:r>
      <w:r w:rsidR="00E01175">
        <w:t xml:space="preserve">the </w:t>
      </w:r>
      <w:r w:rsidR="00A331FE">
        <w:t>mobile IAB</w:t>
      </w:r>
      <w:r w:rsidR="00E01175">
        <w:t xml:space="preserve"> scenario</w:t>
      </w:r>
      <w:r w:rsidR="00A331FE">
        <w:t>. For scheme 2</w:t>
      </w:r>
      <w:r w:rsidR="00056B68">
        <w:t xml:space="preserve">, </w:t>
      </w:r>
      <w:r w:rsidR="00FF5FDE">
        <w:t xml:space="preserve">while </w:t>
      </w:r>
      <w:r w:rsidR="00056B68">
        <w:t xml:space="preserve">SSB selection is performed by the </w:t>
      </w:r>
      <w:r w:rsidR="00241041">
        <w:t>UE</w:t>
      </w:r>
      <w:r w:rsidR="00FF5FDE">
        <w:t xml:space="preserve">, it is still possible that the network </w:t>
      </w:r>
      <w:r w:rsidR="00A5121F">
        <w:t xml:space="preserve">provides at most one SSB index to map to the </w:t>
      </w:r>
      <w:r w:rsidR="00CD3130">
        <w:t>pre-allocated UL grant occasions.</w:t>
      </w:r>
      <w:r w:rsidR="004C2748">
        <w:t xml:space="preserve"> In this case, the UE </w:t>
      </w:r>
      <w:r w:rsidR="00D47FB9">
        <w:t>will</w:t>
      </w:r>
      <w:r w:rsidR="004C2748">
        <w:t xml:space="preserve"> have to pick the indicated SSB index</w:t>
      </w:r>
      <w:r w:rsidR="00C00AC9">
        <w:t xml:space="preserve"> </w:t>
      </w:r>
      <w:r w:rsidR="00DC659E">
        <w:t>(assuming the SSB</w:t>
      </w:r>
      <w:r w:rsidR="00C00AC9">
        <w:t xml:space="preserve"> measurement </w:t>
      </w:r>
      <w:r w:rsidR="00DC659E">
        <w:t>is above the configured</w:t>
      </w:r>
      <w:r w:rsidR="00C00AC9">
        <w:t xml:space="preserve"> threshold</w:t>
      </w:r>
      <w:r w:rsidR="00DC659E">
        <w:t>)</w:t>
      </w:r>
      <w:r w:rsidR="00C00AC9">
        <w:t xml:space="preserve">, which would still comply with the </w:t>
      </w:r>
      <w:r w:rsidR="00986FC7">
        <w:t>RAN2 agreement.</w:t>
      </w:r>
    </w:p>
    <w:p w14:paraId="58321152" w14:textId="102984F2" w:rsidR="00680D5A" w:rsidRDefault="00D47FB9" w:rsidP="00A11D1D">
      <w:pPr>
        <w:rPr>
          <w:b/>
          <w:bCs/>
        </w:rPr>
      </w:pPr>
      <w:r>
        <w:rPr>
          <w:b/>
          <w:bCs/>
        </w:rPr>
        <w:t xml:space="preserve">Observation 1: </w:t>
      </w:r>
      <w:r w:rsidR="00860EAA">
        <w:rPr>
          <w:b/>
          <w:bCs/>
        </w:rPr>
        <w:t>The NTN RACH</w:t>
      </w:r>
      <w:r w:rsidR="007C633B">
        <w:rPr>
          <w:b/>
          <w:bCs/>
        </w:rPr>
        <w:t xml:space="preserve">-less scheme for </w:t>
      </w:r>
      <w:r w:rsidR="00710A0D">
        <w:rPr>
          <w:b/>
          <w:bCs/>
        </w:rPr>
        <w:t xml:space="preserve">both dynamic and </w:t>
      </w:r>
      <w:r w:rsidR="007C633B">
        <w:rPr>
          <w:b/>
          <w:bCs/>
        </w:rPr>
        <w:t>pre-allocated grant</w:t>
      </w:r>
      <w:r w:rsidR="00710A0D">
        <w:rPr>
          <w:b/>
          <w:bCs/>
        </w:rPr>
        <w:t>s</w:t>
      </w:r>
      <w:r w:rsidR="007C633B">
        <w:rPr>
          <w:b/>
          <w:bCs/>
        </w:rPr>
        <w:t xml:space="preserve"> </w:t>
      </w:r>
      <w:r w:rsidR="00805D73">
        <w:rPr>
          <w:b/>
          <w:bCs/>
        </w:rPr>
        <w:t>is compliant</w:t>
      </w:r>
      <w:r w:rsidR="007C633B">
        <w:rPr>
          <w:b/>
          <w:bCs/>
        </w:rPr>
        <w:t xml:space="preserve"> with the </w:t>
      </w:r>
      <w:r w:rsidR="004B2BFB">
        <w:rPr>
          <w:b/>
          <w:bCs/>
        </w:rPr>
        <w:t xml:space="preserve">RAN2#122 </w:t>
      </w:r>
      <w:r w:rsidR="007C633B">
        <w:rPr>
          <w:b/>
          <w:bCs/>
        </w:rPr>
        <w:t xml:space="preserve">agreement to indicate the beam </w:t>
      </w:r>
      <w:r w:rsidR="00680D5A">
        <w:rPr>
          <w:b/>
          <w:bCs/>
        </w:rPr>
        <w:t>in the RACH-less HO command for mobile IAB.</w:t>
      </w:r>
    </w:p>
    <w:p w14:paraId="09AAEED0" w14:textId="57517922" w:rsidR="00A11D1D" w:rsidRDefault="004F0D18" w:rsidP="00A11D1D">
      <w:r>
        <w:rPr>
          <w:b/>
          <w:bCs/>
        </w:rPr>
        <w:t xml:space="preserve">Proposal 2: </w:t>
      </w:r>
      <w:r w:rsidR="00E56C73">
        <w:rPr>
          <w:b/>
          <w:bCs/>
        </w:rPr>
        <w:t>Mobile IAB to r</w:t>
      </w:r>
      <w:r w:rsidR="00841EC5">
        <w:rPr>
          <w:b/>
          <w:bCs/>
        </w:rPr>
        <w:t>euse the NTN</w:t>
      </w:r>
      <w:r w:rsidR="00C61F21">
        <w:rPr>
          <w:b/>
          <w:bCs/>
        </w:rPr>
        <w:t xml:space="preserve"> </w:t>
      </w:r>
      <w:r w:rsidR="00661309">
        <w:rPr>
          <w:b/>
          <w:bCs/>
        </w:rPr>
        <w:t xml:space="preserve">scheme for beam </w:t>
      </w:r>
      <w:r w:rsidR="006C4742">
        <w:rPr>
          <w:b/>
          <w:bCs/>
        </w:rPr>
        <w:t>indication and grant allocation</w:t>
      </w:r>
      <w:r w:rsidR="0008555A">
        <w:rPr>
          <w:b/>
          <w:bCs/>
        </w:rPr>
        <w:t xml:space="preserve"> for RACH-less handover</w:t>
      </w:r>
      <w:r w:rsidR="00E56C73">
        <w:rPr>
          <w:b/>
          <w:bCs/>
        </w:rPr>
        <w:t>.</w:t>
      </w:r>
      <w:r w:rsidR="00C61F21">
        <w:rPr>
          <w:b/>
          <w:bCs/>
        </w:rPr>
        <w:t xml:space="preserve"> </w:t>
      </w:r>
      <w:r w:rsidR="004B2BFB">
        <w:rPr>
          <w:b/>
          <w:bCs/>
        </w:rPr>
        <w:t xml:space="preserve"> </w:t>
      </w:r>
      <w:r>
        <w:rPr>
          <w:b/>
          <w:bCs/>
        </w:rPr>
        <w:t xml:space="preserve"> </w:t>
      </w:r>
      <w:r w:rsidR="00D47FB9">
        <w:rPr>
          <w:b/>
          <w:bCs/>
        </w:rPr>
        <w:t xml:space="preserve"> </w:t>
      </w:r>
      <w:r w:rsidR="0032049C">
        <w:t xml:space="preserve"> </w:t>
      </w:r>
      <w:r w:rsidR="004F114C">
        <w:t xml:space="preserve"> </w:t>
      </w:r>
    </w:p>
    <w:p w14:paraId="0CAA5763" w14:textId="77777777" w:rsidR="008D743A" w:rsidRDefault="008D743A" w:rsidP="008D743A">
      <w:pPr>
        <w:pStyle w:val="Heading2"/>
      </w:pPr>
      <w:r>
        <w:t>2.3</w:t>
      </w:r>
      <w:r>
        <w:tab/>
        <w:t>Eligible UEs for RACH-less handover</w:t>
      </w:r>
    </w:p>
    <w:p w14:paraId="3017152A" w14:textId="4C84CAED" w:rsidR="0045781D" w:rsidRDefault="008D743A" w:rsidP="00A11D1D">
      <w:r>
        <w:t>For mobile IAB, only</w:t>
      </w:r>
      <w:r w:rsidR="00012D02">
        <w:t xml:space="preserve"> UEs served by the source logical </w:t>
      </w:r>
      <w:proofErr w:type="spellStart"/>
      <w:r w:rsidR="00012D02">
        <w:t>mIAB</w:t>
      </w:r>
      <w:proofErr w:type="spellEnd"/>
      <w:r w:rsidR="00012D02">
        <w:t>-DU of the</w:t>
      </w:r>
      <w:r w:rsidR="00CD78CC">
        <w:t xml:space="preserve"> mobile</w:t>
      </w:r>
      <w:r w:rsidR="00012D02">
        <w:t xml:space="preserve"> IAB-node </w:t>
      </w:r>
      <w:r w:rsidR="00CD78CC">
        <w:t xml:space="preserve">may perform </w:t>
      </w:r>
      <w:r w:rsidR="00BD605F">
        <w:t xml:space="preserve">RACH-less handover towards a cell of the target logical </w:t>
      </w:r>
      <w:proofErr w:type="spellStart"/>
      <w:r w:rsidR="00BD605F">
        <w:t>mIAB</w:t>
      </w:r>
      <w:proofErr w:type="spellEnd"/>
      <w:r w:rsidR="00BD605F">
        <w:t xml:space="preserve">-DU. </w:t>
      </w:r>
      <w:r w:rsidR="00D10BF9">
        <w:t>Any other UE that is</w:t>
      </w:r>
      <w:r w:rsidR="0045781D">
        <w:t xml:space="preserve"> handed over to the same target cell </w:t>
      </w:r>
      <w:r w:rsidR="00A20EB7">
        <w:t>performs</w:t>
      </w:r>
      <w:r w:rsidR="0045781D">
        <w:t xml:space="preserve"> RACH.</w:t>
      </w:r>
    </w:p>
    <w:p w14:paraId="40881A3A" w14:textId="2E3DE895" w:rsidR="0045781D" w:rsidRPr="000237B2" w:rsidRDefault="00666BDE" w:rsidP="00A11D1D">
      <w:pPr>
        <w:rPr>
          <w:b/>
          <w:bCs/>
        </w:rPr>
      </w:pPr>
      <w:r>
        <w:rPr>
          <w:b/>
          <w:bCs/>
        </w:rPr>
        <w:t>Proposal</w:t>
      </w:r>
      <w:r w:rsidR="00DA432D">
        <w:rPr>
          <w:b/>
          <w:bCs/>
        </w:rPr>
        <w:t xml:space="preserve"> </w:t>
      </w:r>
      <w:r>
        <w:rPr>
          <w:b/>
          <w:bCs/>
        </w:rPr>
        <w:t>3</w:t>
      </w:r>
      <w:r w:rsidR="000237B2">
        <w:rPr>
          <w:b/>
          <w:bCs/>
        </w:rPr>
        <w:t xml:space="preserve">: </w:t>
      </w:r>
      <w:r w:rsidR="002265BD">
        <w:rPr>
          <w:b/>
          <w:bCs/>
        </w:rPr>
        <w:t xml:space="preserve">For mobile IAB, </w:t>
      </w:r>
      <w:r w:rsidR="000237B2">
        <w:rPr>
          <w:b/>
          <w:bCs/>
        </w:rPr>
        <w:t xml:space="preserve">RACH-less handover towards a cell of the target logical </w:t>
      </w:r>
      <w:proofErr w:type="spellStart"/>
      <w:r w:rsidR="000237B2">
        <w:rPr>
          <w:b/>
          <w:bCs/>
        </w:rPr>
        <w:t>mIAB</w:t>
      </w:r>
      <w:proofErr w:type="spellEnd"/>
      <w:r w:rsidR="000237B2">
        <w:rPr>
          <w:b/>
          <w:bCs/>
        </w:rPr>
        <w:t xml:space="preserve">-DU </w:t>
      </w:r>
      <w:r w:rsidR="002265BD">
        <w:rPr>
          <w:b/>
          <w:bCs/>
        </w:rPr>
        <w:t>should</w:t>
      </w:r>
      <w:r w:rsidR="00043AA0">
        <w:rPr>
          <w:b/>
          <w:bCs/>
        </w:rPr>
        <w:t xml:space="preserve"> </w:t>
      </w:r>
      <w:r w:rsidR="000237B2">
        <w:rPr>
          <w:b/>
          <w:bCs/>
        </w:rPr>
        <w:t>only appl</w:t>
      </w:r>
      <w:r w:rsidR="00043AA0">
        <w:rPr>
          <w:b/>
          <w:bCs/>
        </w:rPr>
        <w:t>y</w:t>
      </w:r>
      <w:r w:rsidR="000237B2">
        <w:rPr>
          <w:b/>
          <w:bCs/>
        </w:rPr>
        <w:t xml:space="preserve"> to UEs served by the collocated </w:t>
      </w:r>
      <w:r w:rsidR="00DA432D">
        <w:rPr>
          <w:b/>
          <w:bCs/>
        </w:rPr>
        <w:t xml:space="preserve">source logical </w:t>
      </w:r>
      <w:proofErr w:type="spellStart"/>
      <w:r w:rsidR="00DA432D">
        <w:rPr>
          <w:b/>
          <w:bCs/>
        </w:rPr>
        <w:t>mIAB</w:t>
      </w:r>
      <w:proofErr w:type="spellEnd"/>
      <w:r w:rsidR="00DA432D">
        <w:rPr>
          <w:b/>
          <w:bCs/>
        </w:rPr>
        <w:t>-DU.</w:t>
      </w:r>
    </w:p>
    <w:p w14:paraId="04CB0FD9" w14:textId="71B2C150" w:rsidR="0002776F" w:rsidRDefault="00E615F5" w:rsidP="00A11D1D">
      <w:r>
        <w:t>This implies that t</w:t>
      </w:r>
      <w:r w:rsidR="00AA788E">
        <w:t xml:space="preserve">he target logical </w:t>
      </w:r>
      <w:proofErr w:type="spellStart"/>
      <w:r w:rsidR="00AA788E">
        <w:t>mIAB</w:t>
      </w:r>
      <w:proofErr w:type="spellEnd"/>
      <w:r w:rsidR="00AA788E">
        <w:t xml:space="preserve">-DU </w:t>
      </w:r>
      <w:proofErr w:type="gramStart"/>
      <w:r w:rsidR="00B9609C">
        <w:t>has</w:t>
      </w:r>
      <w:r w:rsidR="0089219F">
        <w:t xml:space="preserve"> to</w:t>
      </w:r>
      <w:proofErr w:type="gramEnd"/>
      <w:r w:rsidR="0089219F">
        <w:t xml:space="preserve"> differentiate between incoming UEs </w:t>
      </w:r>
      <w:r w:rsidR="00043AA0">
        <w:t xml:space="preserve">from the collocated source logical </w:t>
      </w:r>
      <w:proofErr w:type="spellStart"/>
      <w:r w:rsidR="00043AA0">
        <w:t>mIAB</w:t>
      </w:r>
      <w:proofErr w:type="spellEnd"/>
      <w:r w:rsidR="00043AA0">
        <w:t xml:space="preserve">-DU and other UEs to generate the proper </w:t>
      </w:r>
      <w:proofErr w:type="spellStart"/>
      <w:r w:rsidR="00043AA0">
        <w:t>CellGroupConfig</w:t>
      </w:r>
      <w:proofErr w:type="spellEnd"/>
      <w:r w:rsidR="00043AA0">
        <w:t xml:space="preserve"> </w:t>
      </w:r>
      <w:r w:rsidR="006D5E8F">
        <w:t xml:space="preserve">that determines whether the </w:t>
      </w:r>
      <w:r w:rsidR="00263160">
        <w:t>HO execution is RACH-based or RACH-less.</w:t>
      </w:r>
      <w:r w:rsidR="00A92498">
        <w:t xml:space="preserve"> </w:t>
      </w:r>
      <w:r w:rsidR="0002776F">
        <w:t xml:space="preserve">To enable </w:t>
      </w:r>
      <w:r w:rsidR="00AB1F03">
        <w:t>this</w:t>
      </w:r>
      <w:r w:rsidR="0002776F">
        <w:t xml:space="preserve"> differentiation, two options are possible:</w:t>
      </w:r>
    </w:p>
    <w:p w14:paraId="5D21A2D3" w14:textId="4AB3506D" w:rsidR="009D7C1E" w:rsidRDefault="009D7C1E" w:rsidP="00BF4DCB">
      <w:pPr>
        <w:pStyle w:val="ListParagraph"/>
        <w:numPr>
          <w:ilvl w:val="0"/>
          <w:numId w:val="39"/>
        </w:numPr>
        <w:contextualSpacing w:val="0"/>
      </w:pPr>
      <w:r w:rsidRPr="00082BF5">
        <w:rPr>
          <w:b/>
          <w:bCs/>
        </w:rPr>
        <w:t>Option 1</w:t>
      </w:r>
      <w:r>
        <w:t xml:space="preserve">: The </w:t>
      </w:r>
      <w:proofErr w:type="spellStart"/>
      <w:r w:rsidRPr="00207C9E">
        <w:t>HandoverPreparationInformation</w:t>
      </w:r>
      <w:proofErr w:type="spellEnd"/>
      <w:r>
        <w:t xml:space="preserve"> message</w:t>
      </w:r>
      <w:r w:rsidR="006F2686">
        <w:t xml:space="preserve"> sent from the source IAB-donor-CU to the target IAB-donor-CU and </w:t>
      </w:r>
      <w:r>
        <w:t xml:space="preserve">forwarded by the target IAB-donor-CU to the target logical </w:t>
      </w:r>
      <w:proofErr w:type="spellStart"/>
      <w:r>
        <w:t>mIAB</w:t>
      </w:r>
      <w:proofErr w:type="spellEnd"/>
      <w:r>
        <w:t xml:space="preserve">-DU carries necessary info </w:t>
      </w:r>
      <w:r w:rsidR="00D01448">
        <w:t xml:space="preserve">that identifies UEs of the source logical </w:t>
      </w:r>
      <w:proofErr w:type="spellStart"/>
      <w:r w:rsidR="00D01448">
        <w:t>mIAB</w:t>
      </w:r>
      <w:proofErr w:type="spellEnd"/>
      <w:r w:rsidR="00D01448">
        <w:t>-DU</w:t>
      </w:r>
      <w:r w:rsidR="006F2686">
        <w:t>.</w:t>
      </w:r>
    </w:p>
    <w:p w14:paraId="0F6BE678" w14:textId="1704F211" w:rsidR="0002776F" w:rsidRDefault="00082BF5" w:rsidP="00BF4DCB">
      <w:pPr>
        <w:pStyle w:val="ListParagraph"/>
        <w:numPr>
          <w:ilvl w:val="0"/>
          <w:numId w:val="39"/>
        </w:numPr>
        <w:contextualSpacing w:val="0"/>
      </w:pPr>
      <w:r w:rsidRPr="00082BF5">
        <w:rPr>
          <w:b/>
          <w:bCs/>
        </w:rPr>
        <w:t>Option 2</w:t>
      </w:r>
      <w:r w:rsidR="001E2C8F">
        <w:rPr>
          <w:b/>
          <w:bCs/>
        </w:rPr>
        <w:t xml:space="preserve"> (RAN3 scope)</w:t>
      </w:r>
      <w:r>
        <w:t xml:space="preserve">: </w:t>
      </w:r>
      <w:r w:rsidR="003F201D">
        <w:t xml:space="preserve">The </w:t>
      </w:r>
      <w:proofErr w:type="spellStart"/>
      <w:r w:rsidR="005E1DC7">
        <w:t>Xn</w:t>
      </w:r>
      <w:proofErr w:type="spellEnd"/>
      <w:r w:rsidR="005E1DC7">
        <w:t xml:space="preserve"> </w:t>
      </w:r>
      <w:r w:rsidR="003F201D">
        <w:t xml:space="preserve">HO </w:t>
      </w:r>
      <w:r w:rsidR="00022805">
        <w:t xml:space="preserve">preparation </w:t>
      </w:r>
      <w:r w:rsidR="00A930E5">
        <w:t xml:space="preserve">procedure between the source IAB-donor-CU </w:t>
      </w:r>
      <w:r w:rsidR="00C81614">
        <w:t xml:space="preserve">and </w:t>
      </w:r>
      <w:r w:rsidR="009F662E">
        <w:t xml:space="preserve">the target IAB-donor-CU and the F1 UE Context Setup procedure </w:t>
      </w:r>
      <w:r w:rsidR="003550F0">
        <w:t xml:space="preserve">between the target IAB-donor-CU and the target logical </w:t>
      </w:r>
      <w:proofErr w:type="spellStart"/>
      <w:r w:rsidR="003550F0">
        <w:t>mIAB</w:t>
      </w:r>
      <w:proofErr w:type="spellEnd"/>
      <w:r w:rsidR="003550F0">
        <w:t xml:space="preserve">-DU carry necessary info that identifies UEs of the source logical </w:t>
      </w:r>
      <w:proofErr w:type="spellStart"/>
      <w:r w:rsidR="003550F0">
        <w:t>mIAB</w:t>
      </w:r>
      <w:proofErr w:type="spellEnd"/>
      <w:r w:rsidR="003550F0">
        <w:t>-DU.</w:t>
      </w:r>
    </w:p>
    <w:p w14:paraId="68499435" w14:textId="584448D0" w:rsidR="00AB1F03" w:rsidRDefault="00AB1F03" w:rsidP="00A11D1D">
      <w:r>
        <w:t>Option 2 is RAN3 scope. We focus on Option 1.</w:t>
      </w:r>
    </w:p>
    <w:p w14:paraId="768343EB" w14:textId="206B3850" w:rsidR="004B7EFD" w:rsidRDefault="00C74A64" w:rsidP="00A11D1D">
      <w:r>
        <w:t xml:space="preserve">Section 11.2.3 </w:t>
      </w:r>
      <w:r w:rsidR="00A438B4">
        <w:t>of TS 38.331</w:t>
      </w:r>
      <w:r w:rsidR="00304F03">
        <w:t xml:space="preserve"> states the following:</w:t>
      </w:r>
    </w:p>
    <w:tbl>
      <w:tblPr>
        <w:tblStyle w:val="TableGrid"/>
        <w:tblW w:w="0" w:type="auto"/>
        <w:tblLook w:val="04A0" w:firstRow="1" w:lastRow="0" w:firstColumn="1" w:lastColumn="0" w:noHBand="0" w:noVBand="1"/>
      </w:tblPr>
      <w:tblGrid>
        <w:gridCol w:w="9631"/>
      </w:tblGrid>
      <w:tr w:rsidR="00304F03" w14:paraId="63A81F3F" w14:textId="77777777" w:rsidTr="00304F03">
        <w:tc>
          <w:tcPr>
            <w:tcW w:w="9631" w:type="dxa"/>
          </w:tcPr>
          <w:p w14:paraId="4514487E" w14:textId="77777777" w:rsidR="00385877" w:rsidRDefault="00385877" w:rsidP="00385877">
            <w:pPr>
              <w:rPr>
                <w:rFonts w:eastAsia="Yu Mincho"/>
              </w:rPr>
            </w:pPr>
            <w:r>
              <w:rPr>
                <w:rFonts w:eastAsia="Yu Mincho"/>
              </w:rPr>
              <w:t xml:space="preserve">For the </w:t>
            </w:r>
            <w:r>
              <w:rPr>
                <w:rFonts w:eastAsia="Yu Mincho"/>
                <w:i/>
              </w:rPr>
              <w:t>AS-Config</w:t>
            </w:r>
            <w:r>
              <w:rPr>
                <w:rFonts w:eastAsia="Yu Mincho"/>
              </w:rPr>
              <w:t xml:space="preserve"> transferred within the </w:t>
            </w:r>
            <w:proofErr w:type="spellStart"/>
            <w:r>
              <w:rPr>
                <w:rFonts w:eastAsia="Yu Mincho"/>
                <w:i/>
              </w:rPr>
              <w:t>HandoverPreparationInformation</w:t>
            </w:r>
            <w:proofErr w:type="spellEnd"/>
            <w:r>
              <w:rPr>
                <w:rFonts w:eastAsia="Yu Mincho"/>
              </w:rPr>
              <w:t>:</w:t>
            </w:r>
          </w:p>
          <w:p w14:paraId="73717BD2" w14:textId="1C4C3B3F" w:rsidR="00304F03" w:rsidRPr="00385877" w:rsidRDefault="00385877" w:rsidP="00385877">
            <w:pPr>
              <w:pStyle w:val="B1"/>
              <w:rPr>
                <w:rFonts w:eastAsia="Yu Mincho"/>
              </w:rPr>
            </w:pPr>
            <w:r>
              <w:rPr>
                <w:rFonts w:eastAsia="Yu Mincho"/>
              </w:rPr>
              <w:t>-</w:t>
            </w:r>
            <w:r>
              <w:rPr>
                <w:rFonts w:eastAsia="Yu Mincho"/>
              </w:rPr>
              <w:tab/>
            </w:r>
            <w:r w:rsidRPr="00385877">
              <w:rPr>
                <w:rFonts w:eastAsia="Yu Mincho"/>
                <w:highlight w:val="green"/>
              </w:rPr>
              <w:t>The source node shall include all fields necessary to reflect the current AS configuration of the UE</w:t>
            </w:r>
            <w:r>
              <w:rPr>
                <w:rFonts w:eastAsia="Yu Mincho"/>
              </w:rPr>
              <w:t>,</w:t>
            </w:r>
            <w:r>
              <w:t xml:space="preserve"> </w:t>
            </w:r>
            <w:r>
              <w:rPr>
                <w:rFonts w:eastAsia="Yu Mincho"/>
              </w:rPr>
              <w:t xml:space="preserve">except for the fields </w:t>
            </w:r>
            <w:proofErr w:type="spellStart"/>
            <w:r>
              <w:rPr>
                <w:rFonts w:eastAsia="Yu Mincho"/>
                <w:i/>
              </w:rPr>
              <w:t>sourceSCG</w:t>
            </w:r>
            <w:proofErr w:type="spellEnd"/>
            <w:r>
              <w:rPr>
                <w:rFonts w:eastAsia="Yu Mincho"/>
                <w:i/>
              </w:rPr>
              <w:t>-NR-Config</w:t>
            </w:r>
            <w:r>
              <w:rPr>
                <w:rFonts w:eastAsia="Yu Mincho"/>
              </w:rPr>
              <w:t xml:space="preserve">, </w:t>
            </w:r>
            <w:proofErr w:type="spellStart"/>
            <w:r>
              <w:rPr>
                <w:i/>
              </w:rPr>
              <w:t>sourceSCG</w:t>
            </w:r>
            <w:proofErr w:type="spellEnd"/>
            <w:r>
              <w:rPr>
                <w:i/>
              </w:rPr>
              <w:t>-EUTRA-</w:t>
            </w:r>
            <w:proofErr w:type="gramStart"/>
            <w:r>
              <w:rPr>
                <w:i/>
              </w:rPr>
              <w:t>Config</w:t>
            </w:r>
            <w:proofErr w:type="gramEnd"/>
            <w:r>
              <w:t xml:space="preserve"> and </w:t>
            </w:r>
            <w:proofErr w:type="spellStart"/>
            <w:r>
              <w:rPr>
                <w:i/>
              </w:rPr>
              <w:t>sourceRB</w:t>
            </w:r>
            <w:proofErr w:type="spellEnd"/>
            <w:r>
              <w:rPr>
                <w:i/>
              </w:rPr>
              <w:t>-SN-Config</w:t>
            </w:r>
            <w:r>
              <w:rPr>
                <w:rFonts w:eastAsia="Yu Mincho"/>
              </w:rPr>
              <w:t xml:space="preserve">, which can be omitted in case the source MN did not receive the latest configuration from the source SN. For </w:t>
            </w:r>
            <w:proofErr w:type="spellStart"/>
            <w:r>
              <w:rPr>
                <w:rFonts w:eastAsia="Yu Mincho"/>
                <w:i/>
              </w:rPr>
              <w:t>RRCReconfiguration</w:t>
            </w:r>
            <w:proofErr w:type="spellEnd"/>
            <w:r>
              <w:rPr>
                <w:rFonts w:eastAsia="Yu Mincho"/>
              </w:rPr>
              <w:t xml:space="preserve"> included in the field </w:t>
            </w:r>
            <w:proofErr w:type="spellStart"/>
            <w:r>
              <w:rPr>
                <w:rFonts w:eastAsia="Yu Mincho"/>
                <w:i/>
              </w:rPr>
              <w:t>rrcReconfiguration</w:t>
            </w:r>
            <w:proofErr w:type="spellEnd"/>
            <w:r>
              <w:rPr>
                <w:rFonts w:eastAsia="Yu Mincho"/>
              </w:rPr>
              <w:t xml:space="preserve">, </w:t>
            </w:r>
            <w:proofErr w:type="spellStart"/>
            <w:r w:rsidRPr="00385877">
              <w:rPr>
                <w:rFonts w:eastAsia="Yu Mincho"/>
                <w:i/>
                <w:highlight w:val="green"/>
              </w:rPr>
              <w:t>ReconfigurationWithSync</w:t>
            </w:r>
            <w:proofErr w:type="spellEnd"/>
            <w:r w:rsidRPr="00385877">
              <w:rPr>
                <w:rFonts w:eastAsia="Yu Mincho"/>
                <w:highlight w:val="green"/>
              </w:rPr>
              <w:t xml:space="preserve"> is included with</w:t>
            </w:r>
            <w:r>
              <w:rPr>
                <w:rFonts w:eastAsia="Yu Mincho"/>
              </w:rPr>
              <w:t xml:space="preserve"> only the mandatory subfields (</w:t>
            </w:r>
            <w:proofErr w:type="gramStart"/>
            <w:r>
              <w:rPr>
                <w:rFonts w:eastAsia="Yu Mincho"/>
              </w:rPr>
              <w:t>e.g.</w:t>
            </w:r>
            <w:proofErr w:type="gramEnd"/>
            <w:r>
              <w:rPr>
                <w:rFonts w:eastAsia="Yu Mincho"/>
              </w:rPr>
              <w:t xml:space="preserve"> </w:t>
            </w:r>
            <w:proofErr w:type="spellStart"/>
            <w:r w:rsidRPr="00385877">
              <w:rPr>
                <w:rFonts w:eastAsia="Yu Mincho"/>
                <w:i/>
                <w:highlight w:val="green"/>
              </w:rPr>
              <w:t>newUE</w:t>
            </w:r>
            <w:proofErr w:type="spellEnd"/>
            <w:r w:rsidRPr="00385877">
              <w:rPr>
                <w:rFonts w:eastAsia="Yu Mincho"/>
                <w:i/>
                <w:highlight w:val="green"/>
              </w:rPr>
              <w:t>-Identity</w:t>
            </w:r>
            <w:r>
              <w:rPr>
                <w:rFonts w:eastAsia="Yu Mincho"/>
              </w:rPr>
              <w:t xml:space="preserve"> and </w:t>
            </w:r>
            <w:r>
              <w:rPr>
                <w:rFonts w:eastAsia="Yu Mincho"/>
                <w:i/>
              </w:rPr>
              <w:t>t304</w:t>
            </w:r>
            <w:r>
              <w:rPr>
                <w:rFonts w:eastAsia="Yu Mincho"/>
              </w:rPr>
              <w:t xml:space="preserve">) and </w:t>
            </w:r>
            <w:proofErr w:type="spellStart"/>
            <w:r w:rsidRPr="00385877">
              <w:rPr>
                <w:rFonts w:eastAsia="Yu Mincho"/>
                <w:i/>
                <w:highlight w:val="green"/>
              </w:rPr>
              <w:t>ServingCellConfigCommon</w:t>
            </w:r>
            <w:proofErr w:type="spellEnd"/>
            <w:r>
              <w:rPr>
                <w:rFonts w:eastAsia="Yu Mincho"/>
              </w:rPr>
              <w:t>;</w:t>
            </w:r>
          </w:p>
        </w:tc>
      </w:tr>
    </w:tbl>
    <w:p w14:paraId="0649BF10" w14:textId="77777777" w:rsidR="00304F03" w:rsidRDefault="00304F03" w:rsidP="00A11D1D"/>
    <w:p w14:paraId="3B072AF2" w14:textId="3DE390B4" w:rsidR="00284EF7" w:rsidRDefault="00A4718F" w:rsidP="00A11D1D">
      <w:r>
        <w:t xml:space="preserve">This implies the </w:t>
      </w:r>
      <w:proofErr w:type="spellStart"/>
      <w:r w:rsidR="008709D6" w:rsidRPr="00207C9E">
        <w:t>HandoverPreparationInformation</w:t>
      </w:r>
      <w:proofErr w:type="spellEnd"/>
      <w:r w:rsidR="008709D6">
        <w:t xml:space="preserve"> message carries both </w:t>
      </w:r>
      <w:r w:rsidR="00FE060D">
        <w:t xml:space="preserve">the UE’s source PCI within the </w:t>
      </w:r>
      <w:proofErr w:type="spellStart"/>
      <w:r w:rsidR="00FE060D" w:rsidRPr="00FE060D">
        <w:rPr>
          <w:i/>
          <w:iCs/>
        </w:rPr>
        <w:t>ServingCellConfigCommon</w:t>
      </w:r>
      <w:proofErr w:type="spellEnd"/>
      <w:r w:rsidR="00FE060D">
        <w:t xml:space="preserve"> IE and the UE’s source C-RNTI within the </w:t>
      </w:r>
      <w:proofErr w:type="spellStart"/>
      <w:r w:rsidR="00FE060D" w:rsidRPr="00FE060D">
        <w:rPr>
          <w:i/>
          <w:iCs/>
        </w:rPr>
        <w:t>newUE</w:t>
      </w:r>
      <w:proofErr w:type="spellEnd"/>
      <w:r w:rsidR="00FE060D" w:rsidRPr="00FE060D">
        <w:rPr>
          <w:i/>
          <w:iCs/>
        </w:rPr>
        <w:t>-Identity</w:t>
      </w:r>
      <w:r w:rsidR="00FE060D">
        <w:t xml:space="preserve"> IE. Based on this info</w:t>
      </w:r>
      <w:r w:rsidR="00284EF7">
        <w:t xml:space="preserve">, the target logical </w:t>
      </w:r>
      <w:proofErr w:type="spellStart"/>
      <w:r w:rsidR="00284EF7">
        <w:t>mIAB</w:t>
      </w:r>
      <w:proofErr w:type="spellEnd"/>
      <w:r w:rsidR="00284EF7">
        <w:t xml:space="preserve">-DU can uniquely identify the UE served by a cell of the source logical </w:t>
      </w:r>
      <w:proofErr w:type="spellStart"/>
      <w:r w:rsidR="00284EF7">
        <w:t>mIAB</w:t>
      </w:r>
      <w:proofErr w:type="spellEnd"/>
      <w:r w:rsidR="00284EF7">
        <w:t>-DU.</w:t>
      </w:r>
    </w:p>
    <w:p w14:paraId="48AE24E8" w14:textId="5D07A877" w:rsidR="00537685" w:rsidRDefault="0018600C" w:rsidP="00A11D1D">
      <w:pPr>
        <w:rPr>
          <w:b/>
          <w:bCs/>
        </w:rPr>
      </w:pPr>
      <w:r>
        <w:rPr>
          <w:b/>
          <w:bCs/>
        </w:rPr>
        <w:t xml:space="preserve">Proposal </w:t>
      </w:r>
      <w:r w:rsidR="00C706C3">
        <w:rPr>
          <w:b/>
          <w:bCs/>
        </w:rPr>
        <w:t>4</w:t>
      </w:r>
      <w:r>
        <w:rPr>
          <w:b/>
          <w:bCs/>
        </w:rPr>
        <w:t xml:space="preserve">: </w:t>
      </w:r>
      <w:r w:rsidR="00134D10">
        <w:rPr>
          <w:b/>
          <w:bCs/>
        </w:rPr>
        <w:t xml:space="preserve">RAN2 confirms that the </w:t>
      </w:r>
      <w:proofErr w:type="spellStart"/>
      <w:r w:rsidR="00134D10" w:rsidRPr="00ED227C">
        <w:rPr>
          <w:b/>
          <w:bCs/>
        </w:rPr>
        <w:t>HandoverPreparationInformation</w:t>
      </w:r>
      <w:proofErr w:type="spellEnd"/>
      <w:r w:rsidR="00134D10">
        <w:rPr>
          <w:b/>
          <w:bCs/>
        </w:rPr>
        <w:t xml:space="preserve"> message carries the (PCI, C-RNTI) pair used in the source cell</w:t>
      </w:r>
      <w:r w:rsidR="003C5F4F">
        <w:rPr>
          <w:b/>
          <w:bCs/>
        </w:rPr>
        <w:t xml:space="preserve">, which enables the target logical </w:t>
      </w:r>
      <w:proofErr w:type="spellStart"/>
      <w:r w:rsidR="003C5F4F">
        <w:rPr>
          <w:b/>
          <w:bCs/>
        </w:rPr>
        <w:t>mIAB</w:t>
      </w:r>
      <w:proofErr w:type="spellEnd"/>
      <w:r w:rsidR="003C5F4F">
        <w:rPr>
          <w:b/>
          <w:bCs/>
        </w:rPr>
        <w:t xml:space="preserve">-DU to identify incoming UEs from the collocated source logical </w:t>
      </w:r>
      <w:proofErr w:type="spellStart"/>
      <w:r w:rsidR="003C5F4F">
        <w:rPr>
          <w:b/>
          <w:bCs/>
        </w:rPr>
        <w:t>mIAB</w:t>
      </w:r>
      <w:proofErr w:type="spellEnd"/>
      <w:r w:rsidR="003C5F4F">
        <w:rPr>
          <w:b/>
          <w:bCs/>
        </w:rPr>
        <w:t xml:space="preserve">-DU. </w:t>
      </w:r>
    </w:p>
    <w:p w14:paraId="097F3B31" w14:textId="35DD86B4" w:rsidR="007D2D21" w:rsidRDefault="007D2D21" w:rsidP="007D2D21">
      <w:pPr>
        <w:pStyle w:val="Heading1"/>
      </w:pPr>
      <w:r>
        <w:t>3</w:t>
      </w:r>
      <w:r w:rsidRPr="00320A6B">
        <w:tab/>
      </w:r>
      <w:r>
        <w:t xml:space="preserve">Reuse </w:t>
      </w:r>
      <w:r>
        <w:t>condT1-based H</w:t>
      </w:r>
      <w:r w:rsidR="0068389F">
        <w:t>andover</w:t>
      </w:r>
      <w:r>
        <w:t xml:space="preserve"> for mobile IAB</w:t>
      </w:r>
    </w:p>
    <w:p w14:paraId="4A84F0A7" w14:textId="77777777" w:rsidR="007D2D21" w:rsidRDefault="007D2D21" w:rsidP="007D2D21">
      <w:pPr>
        <w:spacing w:before="120" w:after="120"/>
      </w:pPr>
      <w:r>
        <w:t xml:space="preserve">Since UE CHO during DU migration need not be driven by changes in radio-link quality, time-based triggering could be applied as defined for NTN. RAN2 agreed that NTN’s time-based triggering may be adopted for mobile IAB if this does not imply major specification changes. </w:t>
      </w:r>
    </w:p>
    <w:p w14:paraId="691102DE" w14:textId="77777777" w:rsidR="007D2D21" w:rsidRDefault="007D2D21" w:rsidP="007D2D21">
      <w:pPr>
        <w:spacing w:before="120" w:after="120"/>
      </w:pPr>
      <w:r>
        <w:t>TS 38.300, clause 16.14, refers to time-based trigger conditions in the context of NTN only. TS 38.300, clause 9.2.3.4, only refers to CHO events A3/A5. It would therefore be necessary to include time-based triggering as a generic solution for CHO</w:t>
      </w:r>
      <w:r w:rsidRPr="0057139D">
        <w:t xml:space="preserve"> </w:t>
      </w:r>
      <w:r>
        <w:t>in clause 9.2.3.4.</w:t>
      </w:r>
    </w:p>
    <w:p w14:paraId="4CA7F46F" w14:textId="797F4966" w:rsidR="007D2D21" w:rsidRPr="0057139D" w:rsidRDefault="007D2D21" w:rsidP="007D2D21">
      <w:pPr>
        <w:spacing w:before="120" w:after="120"/>
        <w:rPr>
          <w:b/>
          <w:bCs/>
        </w:rPr>
      </w:pPr>
      <w:r w:rsidRPr="0057139D">
        <w:rPr>
          <w:b/>
          <w:bCs/>
        </w:rPr>
        <w:lastRenderedPageBreak/>
        <w:t xml:space="preserve">Observation </w:t>
      </w:r>
      <w:r>
        <w:rPr>
          <w:b/>
          <w:bCs/>
        </w:rPr>
        <w:t>2</w:t>
      </w:r>
      <w:r w:rsidRPr="0057139D">
        <w:rPr>
          <w:b/>
          <w:bCs/>
        </w:rPr>
        <w:t xml:space="preserve">: </w:t>
      </w:r>
      <w:r>
        <w:rPr>
          <w:b/>
          <w:bCs/>
        </w:rPr>
        <w:t xml:space="preserve">In case </w:t>
      </w:r>
      <w:r w:rsidR="00B120D5">
        <w:rPr>
          <w:b/>
          <w:bCs/>
        </w:rPr>
        <w:t xml:space="preserve">condT1-based handover is adopted for </w:t>
      </w:r>
      <w:proofErr w:type="spellStart"/>
      <w:r w:rsidR="00B120D5">
        <w:rPr>
          <w:b/>
          <w:bCs/>
        </w:rPr>
        <w:t>mIAB</w:t>
      </w:r>
      <w:proofErr w:type="spellEnd"/>
      <w:r>
        <w:rPr>
          <w:b/>
          <w:bCs/>
        </w:rPr>
        <w:t xml:space="preserve">, </w:t>
      </w:r>
      <w:r w:rsidRPr="0057139D">
        <w:rPr>
          <w:b/>
          <w:bCs/>
        </w:rPr>
        <w:t>time-based triggering</w:t>
      </w:r>
      <w:r>
        <w:rPr>
          <w:b/>
          <w:bCs/>
        </w:rPr>
        <w:t xml:space="preserve"> needs to be included</w:t>
      </w:r>
      <w:r w:rsidRPr="0057139D">
        <w:rPr>
          <w:b/>
          <w:bCs/>
        </w:rPr>
        <w:t xml:space="preserve"> for </w:t>
      </w:r>
      <w:r>
        <w:rPr>
          <w:b/>
          <w:bCs/>
        </w:rPr>
        <w:t xml:space="preserve">generic </w:t>
      </w:r>
      <w:r w:rsidRPr="0057139D">
        <w:rPr>
          <w:b/>
          <w:bCs/>
        </w:rPr>
        <w:t>CHO in TS 38.300, clause 9.2.3.4.</w:t>
      </w:r>
    </w:p>
    <w:p w14:paraId="625934D7" w14:textId="77777777" w:rsidR="007D2D21" w:rsidRDefault="007D2D21" w:rsidP="007D2D21">
      <w:pPr>
        <w:spacing w:before="120" w:after="120"/>
      </w:pPr>
      <w:r>
        <w:t xml:space="preserve">TS 38.331, clause 5.3, defines the connection control for time-based CHO in general terms, i.e., without specific reference to NTN. This specification could therefore be applied to mobile IAB without changes. </w:t>
      </w:r>
    </w:p>
    <w:p w14:paraId="134D193D" w14:textId="77777777" w:rsidR="007D2D21" w:rsidRDefault="007D2D21" w:rsidP="007D2D21">
      <w:pPr>
        <w:spacing w:before="120" w:after="120"/>
      </w:pPr>
      <w:r>
        <w:t xml:space="preserve">TS 38.331, clause 6.3.2, further defines the condEventT1-r17 IE in the </w:t>
      </w:r>
      <w:proofErr w:type="spellStart"/>
      <w:r>
        <w:t>ReportConfigNR</w:t>
      </w:r>
      <w:proofErr w:type="spellEnd"/>
      <w:r>
        <w:t xml:space="preserve"> IE in generic terms without specific reference to NTN. This specification could therefore be applied to mobile IAB without changes.</w:t>
      </w:r>
    </w:p>
    <w:p w14:paraId="0FCDF9AD" w14:textId="68559097" w:rsidR="007D2D21" w:rsidRDefault="007D2D21" w:rsidP="007D2D21">
      <w:pPr>
        <w:spacing w:before="120" w:after="120"/>
      </w:pPr>
      <w:r>
        <w:t xml:space="preserve">TS 38.331, clause 6.3.1, defines the t_Service-r17 time information in SIB19, which is needed for the evaluation for the condEventT1-r17 trigger condition. SIB19 explicitly refers to “satellite assistance information”. In case time-based CHO is used to mobile IAB, the </w:t>
      </w:r>
      <w:r w:rsidR="00B120D5">
        <w:t>equivalent</w:t>
      </w:r>
      <w:r>
        <w:t xml:space="preserve"> time information can be obtained from SIB9, which provides the same information based on network timing.</w:t>
      </w:r>
    </w:p>
    <w:p w14:paraId="6BF02462" w14:textId="1A320F41" w:rsidR="007D2D21" w:rsidRDefault="007D2D21" w:rsidP="007D2D21">
      <w:pPr>
        <w:spacing w:before="120" w:after="120"/>
        <w:rPr>
          <w:b/>
          <w:bCs/>
        </w:rPr>
      </w:pPr>
      <w:r w:rsidRPr="0057139D">
        <w:rPr>
          <w:b/>
          <w:bCs/>
        </w:rPr>
        <w:t xml:space="preserve">Observation </w:t>
      </w:r>
      <w:r>
        <w:rPr>
          <w:b/>
          <w:bCs/>
        </w:rPr>
        <w:t>3</w:t>
      </w:r>
      <w:r w:rsidRPr="0057139D">
        <w:rPr>
          <w:b/>
          <w:bCs/>
        </w:rPr>
        <w:t xml:space="preserve">: </w:t>
      </w:r>
      <w:r w:rsidR="00B120D5">
        <w:rPr>
          <w:b/>
          <w:bCs/>
        </w:rPr>
        <w:t xml:space="preserve">In case condT1-based handover is adopted for </w:t>
      </w:r>
      <w:proofErr w:type="spellStart"/>
      <w:r w:rsidR="00B120D5">
        <w:rPr>
          <w:b/>
          <w:bCs/>
        </w:rPr>
        <w:t>mIAB</w:t>
      </w:r>
      <w:proofErr w:type="spellEnd"/>
      <w:r>
        <w:rPr>
          <w:b/>
          <w:bCs/>
        </w:rPr>
        <w:t xml:space="preserve">, </w:t>
      </w:r>
      <w:r w:rsidRPr="00827C55">
        <w:rPr>
          <w:b/>
          <w:bCs/>
        </w:rPr>
        <w:t xml:space="preserve">the time information </w:t>
      </w:r>
      <w:r>
        <w:rPr>
          <w:b/>
          <w:bCs/>
        </w:rPr>
        <w:t xml:space="preserve">can be obtained from SIB9 instead of SIB19. </w:t>
      </w:r>
    </w:p>
    <w:p w14:paraId="76B0A8D4" w14:textId="77777777" w:rsidR="007D2D21" w:rsidRPr="00827C55" w:rsidRDefault="007D2D21" w:rsidP="007D2D21">
      <w:pPr>
        <w:spacing w:before="120" w:after="120"/>
      </w:pPr>
      <w:r>
        <w:t>Since these changes to the spec are minor, time-based triggering should be supported for UE CHO during DU migration.</w:t>
      </w:r>
    </w:p>
    <w:p w14:paraId="7249B623" w14:textId="51701D1A" w:rsidR="007D2D21" w:rsidRDefault="007D2D21" w:rsidP="007D2D21">
      <w:pPr>
        <w:spacing w:before="120" w:after="120"/>
        <w:rPr>
          <w:b/>
          <w:bCs/>
        </w:rPr>
      </w:pPr>
      <w:r>
        <w:rPr>
          <w:b/>
          <w:bCs/>
        </w:rPr>
        <w:t xml:space="preserve">Proposal </w:t>
      </w:r>
      <w:r>
        <w:rPr>
          <w:b/>
          <w:bCs/>
        </w:rPr>
        <w:t>5</w:t>
      </w:r>
      <w:r>
        <w:rPr>
          <w:b/>
          <w:bCs/>
        </w:rPr>
        <w:t xml:space="preserve">: </w:t>
      </w:r>
      <w:r w:rsidRPr="000A2893">
        <w:rPr>
          <w:b/>
          <w:bCs/>
        </w:rPr>
        <w:t>CondT1</w:t>
      </w:r>
      <w:r w:rsidRPr="000A2893">
        <w:rPr>
          <w:b/>
          <w:bCs/>
          <w:lang w:val="en-US"/>
        </w:rPr>
        <w:t xml:space="preserve">-based HO </w:t>
      </w:r>
      <w:r w:rsidRPr="000A2893">
        <w:rPr>
          <w:b/>
          <w:bCs/>
        </w:rPr>
        <w:t>to be</w:t>
      </w:r>
      <w:r>
        <w:rPr>
          <w:b/>
          <w:bCs/>
        </w:rPr>
        <w:t xml:space="preserve"> supported for CHO during DU migration.</w:t>
      </w:r>
    </w:p>
    <w:p w14:paraId="10DD56ED" w14:textId="188561B3" w:rsidR="007D2D21" w:rsidRDefault="007D2D21" w:rsidP="007D2D21">
      <w:pPr>
        <w:spacing w:before="120" w:after="120"/>
        <w:rPr>
          <w:b/>
          <w:bCs/>
        </w:rPr>
      </w:pPr>
      <w:r>
        <w:rPr>
          <w:b/>
          <w:bCs/>
        </w:rPr>
        <w:t xml:space="preserve">Proposal </w:t>
      </w:r>
      <w:r>
        <w:rPr>
          <w:b/>
          <w:bCs/>
        </w:rPr>
        <w:t>6</w:t>
      </w:r>
      <w:r>
        <w:rPr>
          <w:b/>
          <w:bCs/>
        </w:rPr>
        <w:t xml:space="preserve">: ST2 to capture time-based triggering for </w:t>
      </w:r>
      <w:proofErr w:type="spellStart"/>
      <w:r>
        <w:rPr>
          <w:b/>
          <w:bCs/>
        </w:rPr>
        <w:t>mIAB</w:t>
      </w:r>
      <w:proofErr w:type="spellEnd"/>
      <w:r>
        <w:rPr>
          <w:b/>
          <w:bCs/>
        </w:rPr>
        <w:t xml:space="preserve"> in the generic CHO section</w:t>
      </w:r>
      <w:r w:rsidRPr="00827C55">
        <w:rPr>
          <w:b/>
          <w:bCs/>
        </w:rPr>
        <w:t xml:space="preserve"> </w:t>
      </w:r>
      <w:r>
        <w:rPr>
          <w:b/>
          <w:bCs/>
        </w:rPr>
        <w:t>(</w:t>
      </w:r>
      <w:r w:rsidRPr="0057139D">
        <w:rPr>
          <w:b/>
          <w:bCs/>
        </w:rPr>
        <w:t>TS 38.300, clause 9.2.3.4</w:t>
      </w:r>
      <w:r>
        <w:rPr>
          <w:b/>
          <w:bCs/>
        </w:rPr>
        <w:t>).</w:t>
      </w:r>
    </w:p>
    <w:p w14:paraId="165C7F78" w14:textId="21614D9F" w:rsidR="007D2D21" w:rsidRDefault="007D2D21" w:rsidP="007D2D21">
      <w:pPr>
        <w:spacing w:before="120" w:after="120"/>
        <w:rPr>
          <w:b/>
          <w:bCs/>
        </w:rPr>
      </w:pPr>
      <w:r>
        <w:rPr>
          <w:b/>
          <w:bCs/>
        </w:rPr>
        <w:t>P</w:t>
      </w:r>
      <w:r w:rsidRPr="00827C55">
        <w:rPr>
          <w:b/>
          <w:bCs/>
        </w:rPr>
        <w:t xml:space="preserve">roposal </w:t>
      </w:r>
      <w:r>
        <w:rPr>
          <w:b/>
          <w:bCs/>
        </w:rPr>
        <w:t>7</w:t>
      </w:r>
      <w:r w:rsidRPr="00827C55">
        <w:rPr>
          <w:b/>
          <w:bCs/>
        </w:rPr>
        <w:t xml:space="preserve">: </w:t>
      </w:r>
      <w:r>
        <w:rPr>
          <w:b/>
          <w:bCs/>
        </w:rPr>
        <w:t>Time information to be derived from SIB9 instead of SIB19.</w:t>
      </w:r>
    </w:p>
    <w:p w14:paraId="6DE51C65" w14:textId="77777777" w:rsidR="007D2D21" w:rsidRPr="003C5F4F" w:rsidRDefault="007D2D21" w:rsidP="00A11D1D">
      <w:pPr>
        <w:rPr>
          <w:b/>
          <w:bCs/>
        </w:rPr>
      </w:pPr>
    </w:p>
    <w:p w14:paraId="23DA704C" w14:textId="4D63F106" w:rsidR="0096408F" w:rsidRDefault="0096408F" w:rsidP="0096408F">
      <w:pPr>
        <w:pStyle w:val="Heading1"/>
      </w:pPr>
      <w:r>
        <w:t>Conclusion</w:t>
      </w:r>
    </w:p>
    <w:p w14:paraId="1016CCB9" w14:textId="336A7E74" w:rsidR="00ED4D2D" w:rsidRDefault="00752AA4" w:rsidP="00752AA4">
      <w:pPr>
        <w:spacing w:before="120" w:after="120"/>
        <w:rPr>
          <w:lang w:val="en-US"/>
        </w:rPr>
      </w:pPr>
      <w:r>
        <w:t>This paper discusse</w:t>
      </w:r>
      <w:r>
        <w:t xml:space="preserve">d </w:t>
      </w:r>
      <w:r>
        <w:t xml:space="preserve">the changes needed to reuse NR NTN RACH-less handover and condT1-based </w:t>
      </w:r>
      <w:r>
        <w:t>handover</w:t>
      </w:r>
      <w:r>
        <w:t xml:space="preserve"> for mobile IAB.</w:t>
      </w:r>
      <w:r w:rsidR="00A24321">
        <w:rPr>
          <w:lang w:val="en-US"/>
        </w:rPr>
        <w:t xml:space="preserve"> The following observations and proposals have been made</w:t>
      </w:r>
      <w:r w:rsidR="00CD3BFC">
        <w:rPr>
          <w:lang w:val="en-US"/>
        </w:rPr>
        <w:t>:</w:t>
      </w:r>
    </w:p>
    <w:p w14:paraId="4EAEC8A7" w14:textId="3FD5A751" w:rsidR="00ED4D2D" w:rsidRPr="00ED4D2D" w:rsidRDefault="00ED4D2D" w:rsidP="00D303B7">
      <w:pPr>
        <w:spacing w:before="120" w:after="240"/>
        <w:rPr>
          <w:u w:val="single"/>
          <w:lang w:val="en-US"/>
        </w:rPr>
      </w:pPr>
      <w:r w:rsidRPr="00ED4D2D">
        <w:rPr>
          <w:u w:val="single"/>
          <w:lang w:val="en-US"/>
        </w:rPr>
        <w:t>RACH-less handover:</w:t>
      </w:r>
    </w:p>
    <w:p w14:paraId="14057765" w14:textId="46A2A754" w:rsidR="00ED4D2D" w:rsidRDefault="00ED4D2D" w:rsidP="00ED4D2D">
      <w:pPr>
        <w:rPr>
          <w:b/>
          <w:bCs/>
        </w:rPr>
      </w:pPr>
      <w:r>
        <w:rPr>
          <w:b/>
          <w:bCs/>
        </w:rPr>
        <w:t xml:space="preserve">Proposal 1: The case of explicitly indicating a zero TA value in the RACH-less HO command </w:t>
      </w:r>
      <w:r w:rsidR="00B15514">
        <w:rPr>
          <w:b/>
          <w:bCs/>
        </w:rPr>
        <w:t xml:space="preserve">supported by NTN </w:t>
      </w:r>
      <w:r>
        <w:rPr>
          <w:b/>
          <w:bCs/>
        </w:rPr>
        <w:t>does not apply for mobile IAB.</w:t>
      </w:r>
    </w:p>
    <w:p w14:paraId="30C22879" w14:textId="77777777" w:rsidR="00ED4D2D" w:rsidRDefault="00ED4D2D" w:rsidP="00ED4D2D">
      <w:pPr>
        <w:rPr>
          <w:b/>
          <w:bCs/>
        </w:rPr>
      </w:pPr>
      <w:r>
        <w:rPr>
          <w:b/>
          <w:bCs/>
        </w:rPr>
        <w:t>Observation 1: The NTN RACH-less scheme for both dynamic and pre-allocated grants is compliant with the RAN2#122 agreement to indicate the beam in the RACH-less HO command for mobile IAB.</w:t>
      </w:r>
    </w:p>
    <w:p w14:paraId="23976813" w14:textId="77777777" w:rsidR="00ED4D2D" w:rsidRDefault="00ED4D2D" w:rsidP="00ED4D2D">
      <w:r>
        <w:rPr>
          <w:b/>
          <w:bCs/>
        </w:rPr>
        <w:t xml:space="preserve">Proposal 2: Mobile IAB to reuse the NTN scheme for beam indication and grant allocation for RACH-less handover. </w:t>
      </w:r>
    </w:p>
    <w:p w14:paraId="45C4D3BB" w14:textId="77777777" w:rsidR="002265BD" w:rsidRPr="000237B2" w:rsidRDefault="002265BD" w:rsidP="002265BD">
      <w:pPr>
        <w:rPr>
          <w:b/>
          <w:bCs/>
        </w:rPr>
      </w:pPr>
      <w:r>
        <w:rPr>
          <w:b/>
          <w:bCs/>
        </w:rPr>
        <w:t xml:space="preserve">Proposal 3: For mobile IAB, RACH-less handover towards a cell of the target logical </w:t>
      </w:r>
      <w:proofErr w:type="spellStart"/>
      <w:r>
        <w:rPr>
          <w:b/>
          <w:bCs/>
        </w:rPr>
        <w:t>mIAB</w:t>
      </w:r>
      <w:proofErr w:type="spellEnd"/>
      <w:r>
        <w:rPr>
          <w:b/>
          <w:bCs/>
        </w:rPr>
        <w:t xml:space="preserve">-DU should only apply to UEs served by the collocated source logical </w:t>
      </w:r>
      <w:proofErr w:type="spellStart"/>
      <w:r>
        <w:rPr>
          <w:b/>
          <w:bCs/>
        </w:rPr>
        <w:t>mIAB</w:t>
      </w:r>
      <w:proofErr w:type="spellEnd"/>
      <w:r>
        <w:rPr>
          <w:b/>
          <w:bCs/>
        </w:rPr>
        <w:t>-DU.</w:t>
      </w:r>
    </w:p>
    <w:p w14:paraId="13879881" w14:textId="50C57E85" w:rsidR="00ED4D2D" w:rsidRPr="003C5F4F" w:rsidRDefault="00ED4D2D" w:rsidP="00ED4D2D">
      <w:pPr>
        <w:rPr>
          <w:b/>
          <w:bCs/>
        </w:rPr>
      </w:pPr>
      <w:r>
        <w:rPr>
          <w:b/>
          <w:bCs/>
        </w:rPr>
        <w:t xml:space="preserve">Proposal </w:t>
      </w:r>
      <w:r w:rsidR="00C706C3">
        <w:rPr>
          <w:b/>
          <w:bCs/>
        </w:rPr>
        <w:t>4</w:t>
      </w:r>
      <w:r>
        <w:rPr>
          <w:b/>
          <w:bCs/>
        </w:rPr>
        <w:t xml:space="preserve">: RAN2 confirms that the </w:t>
      </w:r>
      <w:proofErr w:type="spellStart"/>
      <w:r w:rsidRPr="00ED227C">
        <w:rPr>
          <w:b/>
          <w:bCs/>
        </w:rPr>
        <w:t>HandoverPreparationInformation</w:t>
      </w:r>
      <w:proofErr w:type="spellEnd"/>
      <w:r>
        <w:rPr>
          <w:b/>
          <w:bCs/>
        </w:rPr>
        <w:t xml:space="preserve"> message carries the (PCI, C-RNTI) pair used in the source cell, which enables the target logical </w:t>
      </w:r>
      <w:proofErr w:type="spellStart"/>
      <w:r>
        <w:rPr>
          <w:b/>
          <w:bCs/>
        </w:rPr>
        <w:t>mIAB</w:t>
      </w:r>
      <w:proofErr w:type="spellEnd"/>
      <w:r>
        <w:rPr>
          <w:b/>
          <w:bCs/>
        </w:rPr>
        <w:t xml:space="preserve">-DU to identify incoming UEs from the collocated source logical </w:t>
      </w:r>
      <w:proofErr w:type="spellStart"/>
      <w:r>
        <w:rPr>
          <w:b/>
          <w:bCs/>
        </w:rPr>
        <w:t>mIAB</w:t>
      </w:r>
      <w:proofErr w:type="spellEnd"/>
      <w:r>
        <w:rPr>
          <w:b/>
          <w:bCs/>
        </w:rPr>
        <w:t xml:space="preserve">-DU. </w:t>
      </w:r>
    </w:p>
    <w:p w14:paraId="69D04F8D" w14:textId="6E0F27C7" w:rsidR="0079035C" w:rsidRPr="00752AA4" w:rsidRDefault="00752AA4" w:rsidP="00750C1F">
      <w:pPr>
        <w:spacing w:before="120" w:after="240"/>
        <w:rPr>
          <w:u w:val="single"/>
        </w:rPr>
      </w:pPr>
      <w:r w:rsidRPr="00752AA4">
        <w:rPr>
          <w:u w:val="single"/>
        </w:rPr>
        <w:t xml:space="preserve">condT1-based </w:t>
      </w:r>
      <w:r w:rsidRPr="00752AA4">
        <w:rPr>
          <w:u w:val="single"/>
        </w:rPr>
        <w:t>handover</w:t>
      </w:r>
    </w:p>
    <w:p w14:paraId="46EB2E22" w14:textId="77777777" w:rsidR="00B120D5" w:rsidRPr="0057139D" w:rsidRDefault="00B120D5" w:rsidP="00B120D5">
      <w:pPr>
        <w:spacing w:before="120" w:after="120"/>
        <w:rPr>
          <w:b/>
          <w:bCs/>
        </w:rPr>
      </w:pPr>
      <w:r w:rsidRPr="0057139D">
        <w:rPr>
          <w:b/>
          <w:bCs/>
        </w:rPr>
        <w:t xml:space="preserve">Observation </w:t>
      </w:r>
      <w:r>
        <w:rPr>
          <w:b/>
          <w:bCs/>
        </w:rPr>
        <w:t>2</w:t>
      </w:r>
      <w:r w:rsidRPr="0057139D">
        <w:rPr>
          <w:b/>
          <w:bCs/>
        </w:rPr>
        <w:t xml:space="preserve">: </w:t>
      </w:r>
      <w:r>
        <w:rPr>
          <w:b/>
          <w:bCs/>
        </w:rPr>
        <w:t xml:space="preserve">In case condT1-based handover is adopted for </w:t>
      </w:r>
      <w:proofErr w:type="spellStart"/>
      <w:r>
        <w:rPr>
          <w:b/>
          <w:bCs/>
        </w:rPr>
        <w:t>mIAB</w:t>
      </w:r>
      <w:proofErr w:type="spellEnd"/>
      <w:r>
        <w:rPr>
          <w:b/>
          <w:bCs/>
        </w:rPr>
        <w:t xml:space="preserve">, </w:t>
      </w:r>
      <w:r w:rsidRPr="0057139D">
        <w:rPr>
          <w:b/>
          <w:bCs/>
        </w:rPr>
        <w:t>time-based triggering</w:t>
      </w:r>
      <w:r>
        <w:rPr>
          <w:b/>
          <w:bCs/>
        </w:rPr>
        <w:t xml:space="preserve"> needs to be included</w:t>
      </w:r>
      <w:r w:rsidRPr="0057139D">
        <w:rPr>
          <w:b/>
          <w:bCs/>
        </w:rPr>
        <w:t xml:space="preserve"> for </w:t>
      </w:r>
      <w:r>
        <w:rPr>
          <w:b/>
          <w:bCs/>
        </w:rPr>
        <w:t xml:space="preserve">generic </w:t>
      </w:r>
      <w:r w:rsidRPr="0057139D">
        <w:rPr>
          <w:b/>
          <w:bCs/>
        </w:rPr>
        <w:t>CHO in TS 38.300, clause 9.2.3.4.</w:t>
      </w:r>
    </w:p>
    <w:p w14:paraId="5300E08D" w14:textId="77777777" w:rsidR="00B120D5" w:rsidRDefault="00B120D5" w:rsidP="00B120D5">
      <w:pPr>
        <w:spacing w:before="120" w:after="120"/>
        <w:rPr>
          <w:b/>
          <w:bCs/>
        </w:rPr>
      </w:pPr>
      <w:r w:rsidRPr="0057139D">
        <w:rPr>
          <w:b/>
          <w:bCs/>
        </w:rPr>
        <w:t xml:space="preserve">Observation </w:t>
      </w:r>
      <w:r>
        <w:rPr>
          <w:b/>
          <w:bCs/>
        </w:rPr>
        <w:t>3</w:t>
      </w:r>
      <w:r w:rsidRPr="0057139D">
        <w:rPr>
          <w:b/>
          <w:bCs/>
        </w:rPr>
        <w:t xml:space="preserve">: </w:t>
      </w:r>
      <w:r>
        <w:rPr>
          <w:b/>
          <w:bCs/>
        </w:rPr>
        <w:t xml:space="preserve">In case condT1-based handover is adopted for </w:t>
      </w:r>
      <w:proofErr w:type="spellStart"/>
      <w:r>
        <w:rPr>
          <w:b/>
          <w:bCs/>
        </w:rPr>
        <w:t>mIAB</w:t>
      </w:r>
      <w:proofErr w:type="spellEnd"/>
      <w:r>
        <w:rPr>
          <w:b/>
          <w:bCs/>
        </w:rPr>
        <w:t xml:space="preserve">, </w:t>
      </w:r>
      <w:r w:rsidRPr="00827C55">
        <w:rPr>
          <w:b/>
          <w:bCs/>
        </w:rPr>
        <w:t xml:space="preserve">the time information </w:t>
      </w:r>
      <w:r>
        <w:rPr>
          <w:b/>
          <w:bCs/>
        </w:rPr>
        <w:t xml:space="preserve">can be obtained from SIB9 instead of SIB19. </w:t>
      </w:r>
    </w:p>
    <w:p w14:paraId="00E23538" w14:textId="77777777" w:rsidR="0002002F" w:rsidRDefault="0002002F" w:rsidP="0002002F">
      <w:pPr>
        <w:spacing w:before="120" w:after="120"/>
        <w:rPr>
          <w:b/>
          <w:bCs/>
        </w:rPr>
      </w:pPr>
      <w:r>
        <w:rPr>
          <w:b/>
          <w:bCs/>
        </w:rPr>
        <w:t xml:space="preserve">Proposal 5: </w:t>
      </w:r>
      <w:r w:rsidRPr="000A2893">
        <w:rPr>
          <w:b/>
          <w:bCs/>
        </w:rPr>
        <w:t>CondT1</w:t>
      </w:r>
      <w:r w:rsidRPr="000A2893">
        <w:rPr>
          <w:b/>
          <w:bCs/>
          <w:lang w:val="en-US"/>
        </w:rPr>
        <w:t xml:space="preserve">-based HO </w:t>
      </w:r>
      <w:r w:rsidRPr="000A2893">
        <w:rPr>
          <w:b/>
          <w:bCs/>
        </w:rPr>
        <w:t>to be</w:t>
      </w:r>
      <w:r>
        <w:rPr>
          <w:b/>
          <w:bCs/>
        </w:rPr>
        <w:t xml:space="preserve"> supported for CHO during DU migration.</w:t>
      </w:r>
    </w:p>
    <w:p w14:paraId="01204BB6" w14:textId="77777777" w:rsidR="0002002F" w:rsidRDefault="0002002F" w:rsidP="0002002F">
      <w:pPr>
        <w:spacing w:before="120" w:after="120"/>
        <w:rPr>
          <w:b/>
          <w:bCs/>
        </w:rPr>
      </w:pPr>
      <w:r>
        <w:rPr>
          <w:b/>
          <w:bCs/>
        </w:rPr>
        <w:t xml:space="preserve">Proposal 6: ST2 to capture time-based triggering for </w:t>
      </w:r>
      <w:proofErr w:type="spellStart"/>
      <w:r>
        <w:rPr>
          <w:b/>
          <w:bCs/>
        </w:rPr>
        <w:t>mIAB</w:t>
      </w:r>
      <w:proofErr w:type="spellEnd"/>
      <w:r>
        <w:rPr>
          <w:b/>
          <w:bCs/>
        </w:rPr>
        <w:t xml:space="preserve"> in the generic CHO section</w:t>
      </w:r>
      <w:r w:rsidRPr="00827C55">
        <w:rPr>
          <w:b/>
          <w:bCs/>
        </w:rPr>
        <w:t xml:space="preserve"> </w:t>
      </w:r>
      <w:r>
        <w:rPr>
          <w:b/>
          <w:bCs/>
        </w:rPr>
        <w:t>(</w:t>
      </w:r>
      <w:r w:rsidRPr="0057139D">
        <w:rPr>
          <w:b/>
          <w:bCs/>
        </w:rPr>
        <w:t>TS 38.300, clause 9.2.3.4</w:t>
      </w:r>
      <w:r>
        <w:rPr>
          <w:b/>
          <w:bCs/>
        </w:rPr>
        <w:t>).</w:t>
      </w:r>
    </w:p>
    <w:p w14:paraId="20453C67" w14:textId="0E1FE47B" w:rsidR="00752AA4" w:rsidRPr="0079035C" w:rsidRDefault="0002002F" w:rsidP="0002002F">
      <w:pPr>
        <w:spacing w:before="120" w:after="240"/>
      </w:pPr>
      <w:r>
        <w:rPr>
          <w:b/>
          <w:bCs/>
        </w:rPr>
        <w:t>P</w:t>
      </w:r>
      <w:r w:rsidRPr="00827C55">
        <w:rPr>
          <w:b/>
          <w:bCs/>
        </w:rPr>
        <w:t xml:space="preserve">roposal </w:t>
      </w:r>
      <w:r>
        <w:rPr>
          <w:b/>
          <w:bCs/>
        </w:rPr>
        <w:t>7</w:t>
      </w:r>
      <w:r w:rsidRPr="00827C55">
        <w:rPr>
          <w:b/>
          <w:bCs/>
        </w:rPr>
        <w:t xml:space="preserve">: </w:t>
      </w:r>
      <w:r>
        <w:rPr>
          <w:b/>
          <w:bCs/>
        </w:rPr>
        <w:t>Time information to be derived from SIB9 instead of SIB19</w:t>
      </w:r>
      <w:r w:rsidR="002B6ACD">
        <w:rPr>
          <w:b/>
          <w:bCs/>
        </w:rPr>
        <w:t>.</w:t>
      </w:r>
    </w:p>
    <w:p w14:paraId="534DB92E" w14:textId="77777777" w:rsidR="0079035C" w:rsidRDefault="0079035C" w:rsidP="00750C1F">
      <w:pPr>
        <w:spacing w:before="120" w:after="240"/>
        <w:rPr>
          <w:lang w:val="en-US"/>
        </w:rPr>
      </w:pPr>
    </w:p>
    <w:p w14:paraId="7F9A5B2E" w14:textId="77777777" w:rsidR="00CD4C7B" w:rsidRPr="00320A6B" w:rsidRDefault="00CD4C7B" w:rsidP="00CD4C7B">
      <w:pPr>
        <w:pStyle w:val="Heading1"/>
      </w:pPr>
      <w:r w:rsidRPr="00320A6B">
        <w:lastRenderedPageBreak/>
        <w:t>References</w:t>
      </w:r>
    </w:p>
    <w:p w14:paraId="698966B4" w14:textId="1D3ED8CB" w:rsidR="00FB11CA" w:rsidRPr="00FB11CA" w:rsidRDefault="00BF49E1" w:rsidP="00B15A5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r w:rsidR="006A48C8">
        <w:rPr>
          <w:lang w:eastAsia="zh-CN"/>
        </w:rPr>
        <w:t>N</w:t>
      </w:r>
      <w:r>
        <w:rPr>
          <w:lang w:eastAsia="zh-CN"/>
        </w:rPr>
        <w:t>otes</w:t>
      </w:r>
      <w:r w:rsidR="002F4B8D">
        <w:rPr>
          <w:lang w:eastAsia="zh-CN"/>
        </w:rPr>
        <w:t xml:space="preserve"> from </w:t>
      </w:r>
      <w:r w:rsidR="00167A87" w:rsidRPr="00F04C08">
        <w:rPr>
          <w:lang w:val="en-US" w:eastAsia="zh-CN"/>
        </w:rPr>
        <w:t xml:space="preserve">TSG RAN </w:t>
      </w:r>
      <w:r>
        <w:rPr>
          <w:lang w:val="en-US" w:eastAsia="zh-CN"/>
        </w:rPr>
        <w:t xml:space="preserve">WG2 </w:t>
      </w:r>
      <w:r w:rsidR="00167A87" w:rsidRPr="00F04C08">
        <w:rPr>
          <w:lang w:val="en-US" w:eastAsia="zh-CN"/>
        </w:rPr>
        <w:t>Meeting</w:t>
      </w:r>
      <w:r w:rsidR="002F4B8D">
        <w:rPr>
          <w:lang w:val="en-US" w:eastAsia="zh-CN"/>
        </w:rPr>
        <w:t>s during Rel-18</w:t>
      </w: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70AB" w14:textId="77777777" w:rsidR="00771D29" w:rsidRDefault="00771D29">
      <w:r>
        <w:separator/>
      </w:r>
    </w:p>
  </w:endnote>
  <w:endnote w:type="continuationSeparator" w:id="0">
    <w:p w14:paraId="2023BE76" w14:textId="77777777" w:rsidR="00771D29" w:rsidRDefault="0077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EFDD4" w14:textId="77777777" w:rsidR="00771D29" w:rsidRDefault="00771D29">
      <w:r>
        <w:separator/>
      </w:r>
    </w:p>
  </w:footnote>
  <w:footnote w:type="continuationSeparator" w:id="0">
    <w:p w14:paraId="646E360B" w14:textId="77777777" w:rsidR="00771D29" w:rsidRDefault="00771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241"/>
    <w:multiLevelType w:val="hybridMultilevel"/>
    <w:tmpl w:val="0DB8BDE0"/>
    <w:lvl w:ilvl="0" w:tplc="79BA3A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733D"/>
    <w:multiLevelType w:val="hybridMultilevel"/>
    <w:tmpl w:val="5DC22DDC"/>
    <w:lvl w:ilvl="0" w:tplc="79BA3A7C">
      <w:start w:val="2"/>
      <w:numFmt w:val="bullet"/>
      <w:lvlText w:val="-"/>
      <w:lvlJc w:val="left"/>
      <w:pPr>
        <w:ind w:left="1008" w:hanging="360"/>
      </w:pPr>
      <w:rPr>
        <w:rFonts w:ascii="Times New Roman" w:eastAsiaTheme="minorEastAsia"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8A675FB"/>
    <w:multiLevelType w:val="hybridMultilevel"/>
    <w:tmpl w:val="E6C474DE"/>
    <w:lvl w:ilvl="0" w:tplc="72B27D16">
      <w:start w:val="2"/>
      <w:numFmt w:val="bullet"/>
      <w:lvlText w:val="-"/>
      <w:lvlJc w:val="left"/>
      <w:pPr>
        <w:ind w:left="1619" w:hanging="360"/>
      </w:pPr>
      <w:rPr>
        <w:rFonts w:ascii="Times New Roman" w:eastAsiaTheme="minorEastAsia" w:hAnsi="Times New Roman" w:cs="Times New Roman" w:hint="default"/>
      </w:rPr>
    </w:lvl>
    <w:lvl w:ilvl="1" w:tplc="FFFFFFFF">
      <w:numFmt w:val="bullet"/>
      <w:lvlText w:val="-"/>
      <w:lvlJc w:val="left"/>
      <w:pPr>
        <w:ind w:left="2339" w:hanging="360"/>
      </w:pPr>
      <w:rPr>
        <w:rFonts w:ascii="Times New Roman" w:eastAsiaTheme="minorEastAsia" w:hAnsi="Times New Roman" w:cs="Times New Roman" w:hint="default"/>
        <w:b/>
        <w:sz w:val="20"/>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BFE407F"/>
    <w:multiLevelType w:val="hybridMultilevel"/>
    <w:tmpl w:val="37763B9A"/>
    <w:lvl w:ilvl="0" w:tplc="F40E7678">
      <w:start w:val="1"/>
      <w:numFmt w:val="bullet"/>
      <w:lvlText w:val="•"/>
      <w:lvlJc w:val="left"/>
      <w:pPr>
        <w:tabs>
          <w:tab w:val="num" w:pos="720"/>
        </w:tabs>
        <w:ind w:left="720" w:hanging="360"/>
      </w:pPr>
      <w:rPr>
        <w:rFonts w:ascii="Times New Roman" w:hAnsi="Times New Roman" w:hint="default"/>
      </w:rPr>
    </w:lvl>
    <w:lvl w:ilvl="1" w:tplc="59E051B4" w:tentative="1">
      <w:start w:val="1"/>
      <w:numFmt w:val="bullet"/>
      <w:lvlText w:val="•"/>
      <w:lvlJc w:val="left"/>
      <w:pPr>
        <w:tabs>
          <w:tab w:val="num" w:pos="1440"/>
        </w:tabs>
        <w:ind w:left="1440" w:hanging="360"/>
      </w:pPr>
      <w:rPr>
        <w:rFonts w:ascii="Times New Roman" w:hAnsi="Times New Roman" w:hint="default"/>
      </w:rPr>
    </w:lvl>
    <w:lvl w:ilvl="2" w:tplc="C9BE2842" w:tentative="1">
      <w:start w:val="1"/>
      <w:numFmt w:val="bullet"/>
      <w:lvlText w:val="•"/>
      <w:lvlJc w:val="left"/>
      <w:pPr>
        <w:tabs>
          <w:tab w:val="num" w:pos="2160"/>
        </w:tabs>
        <w:ind w:left="2160" w:hanging="360"/>
      </w:pPr>
      <w:rPr>
        <w:rFonts w:ascii="Times New Roman" w:hAnsi="Times New Roman" w:hint="default"/>
      </w:rPr>
    </w:lvl>
    <w:lvl w:ilvl="3" w:tplc="B7FA7A60" w:tentative="1">
      <w:start w:val="1"/>
      <w:numFmt w:val="bullet"/>
      <w:lvlText w:val="•"/>
      <w:lvlJc w:val="left"/>
      <w:pPr>
        <w:tabs>
          <w:tab w:val="num" w:pos="2880"/>
        </w:tabs>
        <w:ind w:left="2880" w:hanging="360"/>
      </w:pPr>
      <w:rPr>
        <w:rFonts w:ascii="Times New Roman" w:hAnsi="Times New Roman" w:hint="default"/>
      </w:rPr>
    </w:lvl>
    <w:lvl w:ilvl="4" w:tplc="27D21036" w:tentative="1">
      <w:start w:val="1"/>
      <w:numFmt w:val="bullet"/>
      <w:lvlText w:val="•"/>
      <w:lvlJc w:val="left"/>
      <w:pPr>
        <w:tabs>
          <w:tab w:val="num" w:pos="3600"/>
        </w:tabs>
        <w:ind w:left="3600" w:hanging="360"/>
      </w:pPr>
      <w:rPr>
        <w:rFonts w:ascii="Times New Roman" w:hAnsi="Times New Roman" w:hint="default"/>
      </w:rPr>
    </w:lvl>
    <w:lvl w:ilvl="5" w:tplc="23B65CF0" w:tentative="1">
      <w:start w:val="1"/>
      <w:numFmt w:val="bullet"/>
      <w:lvlText w:val="•"/>
      <w:lvlJc w:val="left"/>
      <w:pPr>
        <w:tabs>
          <w:tab w:val="num" w:pos="4320"/>
        </w:tabs>
        <w:ind w:left="4320" w:hanging="360"/>
      </w:pPr>
      <w:rPr>
        <w:rFonts w:ascii="Times New Roman" w:hAnsi="Times New Roman" w:hint="default"/>
      </w:rPr>
    </w:lvl>
    <w:lvl w:ilvl="6" w:tplc="FFC4B464" w:tentative="1">
      <w:start w:val="1"/>
      <w:numFmt w:val="bullet"/>
      <w:lvlText w:val="•"/>
      <w:lvlJc w:val="left"/>
      <w:pPr>
        <w:tabs>
          <w:tab w:val="num" w:pos="5040"/>
        </w:tabs>
        <w:ind w:left="5040" w:hanging="360"/>
      </w:pPr>
      <w:rPr>
        <w:rFonts w:ascii="Times New Roman" w:hAnsi="Times New Roman" w:hint="default"/>
      </w:rPr>
    </w:lvl>
    <w:lvl w:ilvl="7" w:tplc="F1C82AEE" w:tentative="1">
      <w:start w:val="1"/>
      <w:numFmt w:val="bullet"/>
      <w:lvlText w:val="•"/>
      <w:lvlJc w:val="left"/>
      <w:pPr>
        <w:tabs>
          <w:tab w:val="num" w:pos="5760"/>
        </w:tabs>
        <w:ind w:left="5760" w:hanging="360"/>
      </w:pPr>
      <w:rPr>
        <w:rFonts w:ascii="Times New Roman" w:hAnsi="Times New Roman" w:hint="default"/>
      </w:rPr>
    </w:lvl>
    <w:lvl w:ilvl="8" w:tplc="7304BE1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A91B8A"/>
    <w:multiLevelType w:val="hybridMultilevel"/>
    <w:tmpl w:val="539294B6"/>
    <w:lvl w:ilvl="0" w:tplc="75141E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14F4"/>
    <w:multiLevelType w:val="hybridMultilevel"/>
    <w:tmpl w:val="955EC20E"/>
    <w:lvl w:ilvl="0" w:tplc="F722752C">
      <w:start w:val="1"/>
      <w:numFmt w:val="decimal"/>
      <w:lvlText w:val="%1."/>
      <w:lvlJc w:val="left"/>
      <w:pPr>
        <w:ind w:left="1619" w:hanging="360"/>
      </w:pPr>
      <w:rPr>
        <w:rFonts w:hint="default"/>
      </w:rPr>
    </w:lvl>
    <w:lvl w:ilvl="1" w:tplc="2EB06AC0">
      <w:numFmt w:val="bullet"/>
      <w:lvlText w:val="-"/>
      <w:lvlJc w:val="left"/>
      <w:pPr>
        <w:ind w:left="2339" w:hanging="360"/>
      </w:pPr>
      <w:rPr>
        <w:rFonts w:ascii="Times New Roman" w:eastAsiaTheme="minorEastAsia" w:hAnsi="Times New Roman" w:cs="Times New Roman" w:hint="default"/>
        <w:b/>
        <w:sz w:val="20"/>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786075"/>
    <w:multiLevelType w:val="hybridMultilevel"/>
    <w:tmpl w:val="86FACB88"/>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51AE1"/>
    <w:multiLevelType w:val="hybridMultilevel"/>
    <w:tmpl w:val="CA664826"/>
    <w:lvl w:ilvl="0" w:tplc="635C1838">
      <w:start w:val="1"/>
      <w:numFmt w:val="bullet"/>
      <w:lvlText w:val="•"/>
      <w:lvlJc w:val="left"/>
      <w:pPr>
        <w:tabs>
          <w:tab w:val="num" w:pos="720"/>
        </w:tabs>
        <w:ind w:left="720" w:hanging="360"/>
      </w:pPr>
      <w:rPr>
        <w:rFonts w:ascii="Times New Roman" w:hAnsi="Times New Roman" w:hint="default"/>
      </w:rPr>
    </w:lvl>
    <w:lvl w:ilvl="1" w:tplc="9752AEF0">
      <w:numFmt w:val="bullet"/>
      <w:lvlText w:val="–"/>
      <w:lvlJc w:val="left"/>
      <w:pPr>
        <w:tabs>
          <w:tab w:val="num" w:pos="1440"/>
        </w:tabs>
        <w:ind w:left="1440" w:hanging="360"/>
      </w:pPr>
      <w:rPr>
        <w:rFonts w:ascii="Times New Roman" w:hAnsi="Times New Roman" w:hint="default"/>
      </w:rPr>
    </w:lvl>
    <w:lvl w:ilvl="2" w:tplc="C110187A" w:tentative="1">
      <w:start w:val="1"/>
      <w:numFmt w:val="bullet"/>
      <w:lvlText w:val="•"/>
      <w:lvlJc w:val="left"/>
      <w:pPr>
        <w:tabs>
          <w:tab w:val="num" w:pos="2160"/>
        </w:tabs>
        <w:ind w:left="2160" w:hanging="360"/>
      </w:pPr>
      <w:rPr>
        <w:rFonts w:ascii="Times New Roman" w:hAnsi="Times New Roman" w:hint="default"/>
      </w:rPr>
    </w:lvl>
    <w:lvl w:ilvl="3" w:tplc="808C1646" w:tentative="1">
      <w:start w:val="1"/>
      <w:numFmt w:val="bullet"/>
      <w:lvlText w:val="•"/>
      <w:lvlJc w:val="left"/>
      <w:pPr>
        <w:tabs>
          <w:tab w:val="num" w:pos="2880"/>
        </w:tabs>
        <w:ind w:left="2880" w:hanging="360"/>
      </w:pPr>
      <w:rPr>
        <w:rFonts w:ascii="Times New Roman" w:hAnsi="Times New Roman" w:hint="default"/>
      </w:rPr>
    </w:lvl>
    <w:lvl w:ilvl="4" w:tplc="D53629B0" w:tentative="1">
      <w:start w:val="1"/>
      <w:numFmt w:val="bullet"/>
      <w:lvlText w:val="•"/>
      <w:lvlJc w:val="left"/>
      <w:pPr>
        <w:tabs>
          <w:tab w:val="num" w:pos="3600"/>
        </w:tabs>
        <w:ind w:left="3600" w:hanging="360"/>
      </w:pPr>
      <w:rPr>
        <w:rFonts w:ascii="Times New Roman" w:hAnsi="Times New Roman" w:hint="default"/>
      </w:rPr>
    </w:lvl>
    <w:lvl w:ilvl="5" w:tplc="95F68828" w:tentative="1">
      <w:start w:val="1"/>
      <w:numFmt w:val="bullet"/>
      <w:lvlText w:val="•"/>
      <w:lvlJc w:val="left"/>
      <w:pPr>
        <w:tabs>
          <w:tab w:val="num" w:pos="4320"/>
        </w:tabs>
        <w:ind w:left="4320" w:hanging="360"/>
      </w:pPr>
      <w:rPr>
        <w:rFonts w:ascii="Times New Roman" w:hAnsi="Times New Roman" w:hint="default"/>
      </w:rPr>
    </w:lvl>
    <w:lvl w:ilvl="6" w:tplc="DBF26ECC" w:tentative="1">
      <w:start w:val="1"/>
      <w:numFmt w:val="bullet"/>
      <w:lvlText w:val="•"/>
      <w:lvlJc w:val="left"/>
      <w:pPr>
        <w:tabs>
          <w:tab w:val="num" w:pos="5040"/>
        </w:tabs>
        <w:ind w:left="5040" w:hanging="360"/>
      </w:pPr>
      <w:rPr>
        <w:rFonts w:ascii="Times New Roman" w:hAnsi="Times New Roman" w:hint="default"/>
      </w:rPr>
    </w:lvl>
    <w:lvl w:ilvl="7" w:tplc="E3328C3E" w:tentative="1">
      <w:start w:val="1"/>
      <w:numFmt w:val="bullet"/>
      <w:lvlText w:val="•"/>
      <w:lvlJc w:val="left"/>
      <w:pPr>
        <w:tabs>
          <w:tab w:val="num" w:pos="5760"/>
        </w:tabs>
        <w:ind w:left="5760" w:hanging="360"/>
      </w:pPr>
      <w:rPr>
        <w:rFonts w:ascii="Times New Roman" w:hAnsi="Times New Roman" w:hint="default"/>
      </w:rPr>
    </w:lvl>
    <w:lvl w:ilvl="8" w:tplc="9B7C7D6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593341F"/>
    <w:multiLevelType w:val="hybridMultilevel"/>
    <w:tmpl w:val="A84288B2"/>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6D4C50"/>
    <w:multiLevelType w:val="hybridMultilevel"/>
    <w:tmpl w:val="FBD49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2003833"/>
    <w:multiLevelType w:val="hybridMultilevel"/>
    <w:tmpl w:val="FE9C5148"/>
    <w:lvl w:ilvl="0" w:tplc="79BA3A7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6A1B58"/>
    <w:multiLevelType w:val="hybridMultilevel"/>
    <w:tmpl w:val="9DDA2B28"/>
    <w:lvl w:ilvl="0" w:tplc="4EF220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212E6"/>
    <w:multiLevelType w:val="multilevel"/>
    <w:tmpl w:val="E9E0F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FA11860"/>
    <w:multiLevelType w:val="hybridMultilevel"/>
    <w:tmpl w:val="851CE9F8"/>
    <w:lvl w:ilvl="0" w:tplc="51E05B88">
      <w:start w:val="1"/>
      <w:numFmt w:val="bullet"/>
      <w:lvlText w:val="•"/>
      <w:lvlJc w:val="left"/>
      <w:pPr>
        <w:tabs>
          <w:tab w:val="num" w:pos="720"/>
        </w:tabs>
        <w:ind w:left="720" w:hanging="360"/>
      </w:pPr>
      <w:rPr>
        <w:rFonts w:ascii="Times New Roman" w:hAnsi="Times New Roman" w:hint="default"/>
      </w:rPr>
    </w:lvl>
    <w:lvl w:ilvl="1" w:tplc="CA32678A" w:tentative="1">
      <w:start w:val="1"/>
      <w:numFmt w:val="bullet"/>
      <w:lvlText w:val="•"/>
      <w:lvlJc w:val="left"/>
      <w:pPr>
        <w:tabs>
          <w:tab w:val="num" w:pos="1440"/>
        </w:tabs>
        <w:ind w:left="1440" w:hanging="360"/>
      </w:pPr>
      <w:rPr>
        <w:rFonts w:ascii="Times New Roman" w:hAnsi="Times New Roman" w:hint="default"/>
      </w:rPr>
    </w:lvl>
    <w:lvl w:ilvl="2" w:tplc="7A6AD31A" w:tentative="1">
      <w:start w:val="1"/>
      <w:numFmt w:val="bullet"/>
      <w:lvlText w:val="•"/>
      <w:lvlJc w:val="left"/>
      <w:pPr>
        <w:tabs>
          <w:tab w:val="num" w:pos="2160"/>
        </w:tabs>
        <w:ind w:left="2160" w:hanging="360"/>
      </w:pPr>
      <w:rPr>
        <w:rFonts w:ascii="Times New Roman" w:hAnsi="Times New Roman" w:hint="default"/>
      </w:rPr>
    </w:lvl>
    <w:lvl w:ilvl="3" w:tplc="3A4E308E" w:tentative="1">
      <w:start w:val="1"/>
      <w:numFmt w:val="bullet"/>
      <w:lvlText w:val="•"/>
      <w:lvlJc w:val="left"/>
      <w:pPr>
        <w:tabs>
          <w:tab w:val="num" w:pos="2880"/>
        </w:tabs>
        <w:ind w:left="2880" w:hanging="360"/>
      </w:pPr>
      <w:rPr>
        <w:rFonts w:ascii="Times New Roman" w:hAnsi="Times New Roman" w:hint="default"/>
      </w:rPr>
    </w:lvl>
    <w:lvl w:ilvl="4" w:tplc="FC8299C6" w:tentative="1">
      <w:start w:val="1"/>
      <w:numFmt w:val="bullet"/>
      <w:lvlText w:val="•"/>
      <w:lvlJc w:val="left"/>
      <w:pPr>
        <w:tabs>
          <w:tab w:val="num" w:pos="3600"/>
        </w:tabs>
        <w:ind w:left="3600" w:hanging="360"/>
      </w:pPr>
      <w:rPr>
        <w:rFonts w:ascii="Times New Roman" w:hAnsi="Times New Roman" w:hint="default"/>
      </w:rPr>
    </w:lvl>
    <w:lvl w:ilvl="5" w:tplc="AC5A8BB4" w:tentative="1">
      <w:start w:val="1"/>
      <w:numFmt w:val="bullet"/>
      <w:lvlText w:val="•"/>
      <w:lvlJc w:val="left"/>
      <w:pPr>
        <w:tabs>
          <w:tab w:val="num" w:pos="4320"/>
        </w:tabs>
        <w:ind w:left="4320" w:hanging="360"/>
      </w:pPr>
      <w:rPr>
        <w:rFonts w:ascii="Times New Roman" w:hAnsi="Times New Roman" w:hint="default"/>
      </w:rPr>
    </w:lvl>
    <w:lvl w:ilvl="6" w:tplc="DCE27F64" w:tentative="1">
      <w:start w:val="1"/>
      <w:numFmt w:val="bullet"/>
      <w:lvlText w:val="•"/>
      <w:lvlJc w:val="left"/>
      <w:pPr>
        <w:tabs>
          <w:tab w:val="num" w:pos="5040"/>
        </w:tabs>
        <w:ind w:left="5040" w:hanging="360"/>
      </w:pPr>
      <w:rPr>
        <w:rFonts w:ascii="Times New Roman" w:hAnsi="Times New Roman" w:hint="default"/>
      </w:rPr>
    </w:lvl>
    <w:lvl w:ilvl="7" w:tplc="7EF86760" w:tentative="1">
      <w:start w:val="1"/>
      <w:numFmt w:val="bullet"/>
      <w:lvlText w:val="•"/>
      <w:lvlJc w:val="left"/>
      <w:pPr>
        <w:tabs>
          <w:tab w:val="num" w:pos="5760"/>
        </w:tabs>
        <w:ind w:left="5760" w:hanging="360"/>
      </w:pPr>
      <w:rPr>
        <w:rFonts w:ascii="Times New Roman" w:hAnsi="Times New Roman" w:hint="default"/>
      </w:rPr>
    </w:lvl>
    <w:lvl w:ilvl="8" w:tplc="2C983A2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1EA53E4"/>
    <w:multiLevelType w:val="hybridMultilevel"/>
    <w:tmpl w:val="2A020F04"/>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E9389C"/>
    <w:multiLevelType w:val="hybridMultilevel"/>
    <w:tmpl w:val="017E878E"/>
    <w:lvl w:ilvl="0" w:tplc="C1E27BB8">
      <w:start w:val="1"/>
      <w:numFmt w:val="bullet"/>
      <w:lvlText w:val="•"/>
      <w:lvlJc w:val="left"/>
      <w:pPr>
        <w:tabs>
          <w:tab w:val="num" w:pos="720"/>
        </w:tabs>
        <w:ind w:left="720" w:hanging="360"/>
      </w:pPr>
      <w:rPr>
        <w:rFonts w:ascii="Times New Roman" w:hAnsi="Times New Roman" w:hint="default"/>
      </w:rPr>
    </w:lvl>
    <w:lvl w:ilvl="1" w:tplc="CBEA6A44" w:tentative="1">
      <w:start w:val="1"/>
      <w:numFmt w:val="bullet"/>
      <w:lvlText w:val="•"/>
      <w:lvlJc w:val="left"/>
      <w:pPr>
        <w:tabs>
          <w:tab w:val="num" w:pos="1440"/>
        </w:tabs>
        <w:ind w:left="1440" w:hanging="360"/>
      </w:pPr>
      <w:rPr>
        <w:rFonts w:ascii="Times New Roman" w:hAnsi="Times New Roman" w:hint="default"/>
      </w:rPr>
    </w:lvl>
    <w:lvl w:ilvl="2" w:tplc="17C4FD74" w:tentative="1">
      <w:start w:val="1"/>
      <w:numFmt w:val="bullet"/>
      <w:lvlText w:val="•"/>
      <w:lvlJc w:val="left"/>
      <w:pPr>
        <w:tabs>
          <w:tab w:val="num" w:pos="2160"/>
        </w:tabs>
        <w:ind w:left="2160" w:hanging="360"/>
      </w:pPr>
      <w:rPr>
        <w:rFonts w:ascii="Times New Roman" w:hAnsi="Times New Roman" w:hint="default"/>
      </w:rPr>
    </w:lvl>
    <w:lvl w:ilvl="3" w:tplc="E982A646" w:tentative="1">
      <w:start w:val="1"/>
      <w:numFmt w:val="bullet"/>
      <w:lvlText w:val="•"/>
      <w:lvlJc w:val="left"/>
      <w:pPr>
        <w:tabs>
          <w:tab w:val="num" w:pos="2880"/>
        </w:tabs>
        <w:ind w:left="2880" w:hanging="360"/>
      </w:pPr>
      <w:rPr>
        <w:rFonts w:ascii="Times New Roman" w:hAnsi="Times New Roman" w:hint="default"/>
      </w:rPr>
    </w:lvl>
    <w:lvl w:ilvl="4" w:tplc="6F523556" w:tentative="1">
      <w:start w:val="1"/>
      <w:numFmt w:val="bullet"/>
      <w:lvlText w:val="•"/>
      <w:lvlJc w:val="left"/>
      <w:pPr>
        <w:tabs>
          <w:tab w:val="num" w:pos="3600"/>
        </w:tabs>
        <w:ind w:left="3600" w:hanging="360"/>
      </w:pPr>
      <w:rPr>
        <w:rFonts w:ascii="Times New Roman" w:hAnsi="Times New Roman" w:hint="default"/>
      </w:rPr>
    </w:lvl>
    <w:lvl w:ilvl="5" w:tplc="92CE8E3A" w:tentative="1">
      <w:start w:val="1"/>
      <w:numFmt w:val="bullet"/>
      <w:lvlText w:val="•"/>
      <w:lvlJc w:val="left"/>
      <w:pPr>
        <w:tabs>
          <w:tab w:val="num" w:pos="4320"/>
        </w:tabs>
        <w:ind w:left="4320" w:hanging="360"/>
      </w:pPr>
      <w:rPr>
        <w:rFonts w:ascii="Times New Roman" w:hAnsi="Times New Roman" w:hint="default"/>
      </w:rPr>
    </w:lvl>
    <w:lvl w:ilvl="6" w:tplc="BDB2FD88" w:tentative="1">
      <w:start w:val="1"/>
      <w:numFmt w:val="bullet"/>
      <w:lvlText w:val="•"/>
      <w:lvlJc w:val="left"/>
      <w:pPr>
        <w:tabs>
          <w:tab w:val="num" w:pos="5040"/>
        </w:tabs>
        <w:ind w:left="5040" w:hanging="360"/>
      </w:pPr>
      <w:rPr>
        <w:rFonts w:ascii="Times New Roman" w:hAnsi="Times New Roman" w:hint="default"/>
      </w:rPr>
    </w:lvl>
    <w:lvl w:ilvl="7" w:tplc="E4DEB16E" w:tentative="1">
      <w:start w:val="1"/>
      <w:numFmt w:val="bullet"/>
      <w:lvlText w:val="•"/>
      <w:lvlJc w:val="left"/>
      <w:pPr>
        <w:tabs>
          <w:tab w:val="num" w:pos="5760"/>
        </w:tabs>
        <w:ind w:left="5760" w:hanging="360"/>
      </w:pPr>
      <w:rPr>
        <w:rFonts w:ascii="Times New Roman" w:hAnsi="Times New Roman" w:hint="default"/>
      </w:rPr>
    </w:lvl>
    <w:lvl w:ilvl="8" w:tplc="5F86128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1220"/>
        </w:tabs>
        <w:ind w:left="-11220" w:hanging="360"/>
      </w:pPr>
      <w:rPr>
        <w:rFonts w:ascii="Symbol" w:hAnsi="Symbol" w:hint="default"/>
        <w:b/>
        <w:i w:val="0"/>
        <w:color w:val="auto"/>
        <w:sz w:val="22"/>
      </w:rPr>
    </w:lvl>
    <w:lvl w:ilvl="1" w:tplc="04090003">
      <w:start w:val="1"/>
      <w:numFmt w:val="bullet"/>
      <w:lvlText w:val="o"/>
      <w:lvlJc w:val="left"/>
      <w:pPr>
        <w:tabs>
          <w:tab w:val="num" w:pos="-10410"/>
        </w:tabs>
        <w:ind w:left="-10410" w:hanging="360"/>
      </w:pPr>
      <w:rPr>
        <w:rFonts w:ascii="Courier New" w:hAnsi="Courier New" w:cs="Courier New" w:hint="default"/>
      </w:rPr>
    </w:lvl>
    <w:lvl w:ilvl="2" w:tplc="04090005" w:tentative="1">
      <w:start w:val="1"/>
      <w:numFmt w:val="bullet"/>
      <w:lvlText w:val=""/>
      <w:lvlJc w:val="left"/>
      <w:pPr>
        <w:tabs>
          <w:tab w:val="num" w:pos="-9690"/>
        </w:tabs>
        <w:ind w:left="-9690" w:hanging="360"/>
      </w:pPr>
      <w:rPr>
        <w:rFonts w:ascii="Wingdings" w:hAnsi="Wingdings" w:hint="default"/>
      </w:rPr>
    </w:lvl>
    <w:lvl w:ilvl="3" w:tplc="04090001" w:tentative="1">
      <w:start w:val="1"/>
      <w:numFmt w:val="bullet"/>
      <w:lvlText w:val=""/>
      <w:lvlJc w:val="left"/>
      <w:pPr>
        <w:tabs>
          <w:tab w:val="num" w:pos="-8970"/>
        </w:tabs>
        <w:ind w:left="-8970" w:hanging="360"/>
      </w:pPr>
      <w:rPr>
        <w:rFonts w:ascii="Symbol" w:hAnsi="Symbol" w:hint="default"/>
      </w:rPr>
    </w:lvl>
    <w:lvl w:ilvl="4" w:tplc="04090003" w:tentative="1">
      <w:start w:val="1"/>
      <w:numFmt w:val="bullet"/>
      <w:lvlText w:val="o"/>
      <w:lvlJc w:val="left"/>
      <w:pPr>
        <w:tabs>
          <w:tab w:val="num" w:pos="-8250"/>
        </w:tabs>
        <w:ind w:left="-8250" w:hanging="360"/>
      </w:pPr>
      <w:rPr>
        <w:rFonts w:ascii="Courier New" w:hAnsi="Courier New" w:cs="Courier New" w:hint="default"/>
      </w:rPr>
    </w:lvl>
    <w:lvl w:ilvl="5" w:tplc="04090005" w:tentative="1">
      <w:start w:val="1"/>
      <w:numFmt w:val="bullet"/>
      <w:lvlText w:val=""/>
      <w:lvlJc w:val="left"/>
      <w:pPr>
        <w:tabs>
          <w:tab w:val="num" w:pos="-7530"/>
        </w:tabs>
        <w:ind w:left="-7530" w:hanging="360"/>
      </w:pPr>
      <w:rPr>
        <w:rFonts w:ascii="Wingdings" w:hAnsi="Wingdings" w:hint="default"/>
      </w:rPr>
    </w:lvl>
    <w:lvl w:ilvl="6" w:tplc="04090001" w:tentative="1">
      <w:start w:val="1"/>
      <w:numFmt w:val="bullet"/>
      <w:lvlText w:val=""/>
      <w:lvlJc w:val="left"/>
      <w:pPr>
        <w:tabs>
          <w:tab w:val="num" w:pos="-6810"/>
        </w:tabs>
        <w:ind w:left="-681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5370"/>
        </w:tabs>
        <w:ind w:left="-5370" w:hanging="360"/>
      </w:pPr>
      <w:rPr>
        <w:rFonts w:ascii="Wingdings" w:hAnsi="Wingdings" w:hint="default"/>
      </w:rPr>
    </w:lvl>
  </w:abstractNum>
  <w:abstractNum w:abstractNumId="28" w15:restartNumberingAfterBreak="0">
    <w:nsid w:val="715E625C"/>
    <w:multiLevelType w:val="hybridMultilevel"/>
    <w:tmpl w:val="7AD019EE"/>
    <w:lvl w:ilvl="0" w:tplc="B950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45C3CEF"/>
    <w:multiLevelType w:val="hybridMultilevel"/>
    <w:tmpl w:val="ABDC9B28"/>
    <w:lvl w:ilvl="0" w:tplc="79BA3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10A6C"/>
    <w:multiLevelType w:val="hybridMultilevel"/>
    <w:tmpl w:val="3DCE5BEE"/>
    <w:lvl w:ilvl="0" w:tplc="04090001">
      <w:start w:val="1"/>
      <w:numFmt w:val="bullet"/>
      <w:lvlText w:val=""/>
      <w:lvlJc w:val="left"/>
      <w:pPr>
        <w:ind w:left="1619" w:hanging="360"/>
      </w:pPr>
      <w:rPr>
        <w:rFonts w:ascii="Symbol" w:hAnsi="Symbol" w:hint="default"/>
      </w:rPr>
    </w:lvl>
    <w:lvl w:ilvl="1" w:tplc="FFFFFFFF">
      <w:numFmt w:val="bullet"/>
      <w:lvlText w:val="-"/>
      <w:lvlJc w:val="left"/>
      <w:pPr>
        <w:ind w:left="2339" w:hanging="360"/>
      </w:pPr>
      <w:rPr>
        <w:rFonts w:ascii="Times New Roman" w:eastAsiaTheme="minorEastAsia" w:hAnsi="Times New Roman" w:cs="Times New Roman" w:hint="default"/>
        <w:b/>
        <w:sz w:val="20"/>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825201637">
    <w:abstractNumId w:val="13"/>
  </w:num>
  <w:num w:numId="2" w16cid:durableId="337000327">
    <w:abstractNumId w:val="27"/>
  </w:num>
  <w:num w:numId="3" w16cid:durableId="297147906">
    <w:abstractNumId w:val="21"/>
  </w:num>
  <w:num w:numId="4" w16cid:durableId="1156074361">
    <w:abstractNumId w:val="22"/>
  </w:num>
  <w:num w:numId="5" w16cid:durableId="974483218">
    <w:abstractNumId w:val="27"/>
  </w:num>
  <w:num w:numId="6" w16cid:durableId="1576936486">
    <w:abstractNumId w:val="27"/>
  </w:num>
  <w:num w:numId="7" w16cid:durableId="538444176">
    <w:abstractNumId w:val="30"/>
  </w:num>
  <w:num w:numId="8" w16cid:durableId="707223313">
    <w:abstractNumId w:val="11"/>
  </w:num>
  <w:num w:numId="9" w16cid:durableId="828129386">
    <w:abstractNumId w:val="25"/>
  </w:num>
  <w:num w:numId="10" w16cid:durableId="1776366693">
    <w:abstractNumId w:val="12"/>
  </w:num>
  <w:num w:numId="11" w16cid:durableId="1143085221">
    <w:abstractNumId w:val="19"/>
  </w:num>
  <w:num w:numId="12" w16cid:durableId="660037007">
    <w:abstractNumId w:val="3"/>
  </w:num>
  <w:num w:numId="13" w16cid:durableId="528179456">
    <w:abstractNumId w:val="8"/>
  </w:num>
  <w:num w:numId="14" w16cid:durableId="574051993">
    <w:abstractNumId w:val="23"/>
  </w:num>
  <w:num w:numId="15" w16cid:durableId="198247376">
    <w:abstractNumId w:val="26"/>
  </w:num>
  <w:num w:numId="16" w16cid:durableId="2016809667">
    <w:abstractNumId w:val="10"/>
  </w:num>
  <w:num w:numId="17" w16cid:durableId="1129930536">
    <w:abstractNumId w:val="16"/>
  </w:num>
  <w:num w:numId="18" w16cid:durableId="1247807047">
    <w:abstractNumId w:val="6"/>
  </w:num>
  <w:num w:numId="19" w16cid:durableId="120392180">
    <w:abstractNumId w:val="14"/>
  </w:num>
  <w:num w:numId="20" w16cid:durableId="2056156825">
    <w:abstractNumId w:val="5"/>
  </w:num>
  <w:num w:numId="21" w16cid:durableId="1986928935">
    <w:abstractNumId w:val="31"/>
  </w:num>
  <w:num w:numId="22" w16cid:durableId="1796410000">
    <w:abstractNumId w:val="2"/>
  </w:num>
  <w:num w:numId="23" w16cid:durableId="2138833358">
    <w:abstractNumId w:val="24"/>
  </w:num>
  <w:num w:numId="24" w16cid:durableId="1967154603">
    <w:abstractNumId w:val="27"/>
  </w:num>
  <w:num w:numId="25" w16cid:durableId="1556156478">
    <w:abstractNumId w:val="27"/>
  </w:num>
  <w:num w:numId="26" w16cid:durableId="1986231178">
    <w:abstractNumId w:val="27"/>
  </w:num>
  <w:num w:numId="27" w16cid:durableId="458687363">
    <w:abstractNumId w:val="27"/>
  </w:num>
  <w:num w:numId="28" w16cid:durableId="244656622">
    <w:abstractNumId w:val="15"/>
  </w:num>
  <w:num w:numId="29" w16cid:durableId="953439515">
    <w:abstractNumId w:val="9"/>
  </w:num>
  <w:num w:numId="30" w16cid:durableId="35127923">
    <w:abstractNumId w:val="18"/>
  </w:num>
  <w:num w:numId="31" w16cid:durableId="1313371953">
    <w:abstractNumId w:val="28"/>
  </w:num>
  <w:num w:numId="32" w16cid:durableId="1280448590">
    <w:abstractNumId w:val="7"/>
  </w:num>
  <w:num w:numId="33" w16cid:durableId="1512179347">
    <w:abstractNumId w:val="27"/>
  </w:num>
  <w:num w:numId="34" w16cid:durableId="715862060">
    <w:abstractNumId w:val="20"/>
  </w:num>
  <w:num w:numId="35" w16cid:durableId="751194426">
    <w:abstractNumId w:val="29"/>
  </w:num>
  <w:num w:numId="36" w16cid:durableId="2117484447">
    <w:abstractNumId w:val="4"/>
  </w:num>
  <w:num w:numId="37" w16cid:durableId="1232081076">
    <w:abstractNumId w:val="0"/>
  </w:num>
  <w:num w:numId="38" w16cid:durableId="940065515">
    <w:abstractNumId w:val="1"/>
  </w:num>
  <w:num w:numId="39" w16cid:durableId="135523102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2D02"/>
    <w:rsid w:val="00013C23"/>
    <w:rsid w:val="00014703"/>
    <w:rsid w:val="00014752"/>
    <w:rsid w:val="000147A7"/>
    <w:rsid w:val="000152D3"/>
    <w:rsid w:val="00015DE8"/>
    <w:rsid w:val="0001657D"/>
    <w:rsid w:val="0001796A"/>
    <w:rsid w:val="0002002F"/>
    <w:rsid w:val="00020686"/>
    <w:rsid w:val="00022805"/>
    <w:rsid w:val="000237B2"/>
    <w:rsid w:val="00023FC6"/>
    <w:rsid w:val="00025CE4"/>
    <w:rsid w:val="000266AE"/>
    <w:rsid w:val="00026D06"/>
    <w:rsid w:val="00026FC4"/>
    <w:rsid w:val="0002776F"/>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3AA0"/>
    <w:rsid w:val="00044ED2"/>
    <w:rsid w:val="00045625"/>
    <w:rsid w:val="00046AE0"/>
    <w:rsid w:val="0004707F"/>
    <w:rsid w:val="000475DE"/>
    <w:rsid w:val="0005117E"/>
    <w:rsid w:val="000516D8"/>
    <w:rsid w:val="00051C0C"/>
    <w:rsid w:val="00051F1E"/>
    <w:rsid w:val="0005270E"/>
    <w:rsid w:val="0005392E"/>
    <w:rsid w:val="00053F19"/>
    <w:rsid w:val="0005510E"/>
    <w:rsid w:val="000559EE"/>
    <w:rsid w:val="00056B68"/>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2BF5"/>
    <w:rsid w:val="00084591"/>
    <w:rsid w:val="0008555A"/>
    <w:rsid w:val="0008762B"/>
    <w:rsid w:val="00087E3D"/>
    <w:rsid w:val="00090013"/>
    <w:rsid w:val="00090401"/>
    <w:rsid w:val="00090468"/>
    <w:rsid w:val="00090CEE"/>
    <w:rsid w:val="000926D3"/>
    <w:rsid w:val="00093164"/>
    <w:rsid w:val="000937B0"/>
    <w:rsid w:val="00096258"/>
    <w:rsid w:val="00096946"/>
    <w:rsid w:val="0009765B"/>
    <w:rsid w:val="0009788E"/>
    <w:rsid w:val="00097E94"/>
    <w:rsid w:val="000A050C"/>
    <w:rsid w:val="000A3F9B"/>
    <w:rsid w:val="000A5AD5"/>
    <w:rsid w:val="000A5FB3"/>
    <w:rsid w:val="000B0C46"/>
    <w:rsid w:val="000B0D71"/>
    <w:rsid w:val="000B19D0"/>
    <w:rsid w:val="000B2CBF"/>
    <w:rsid w:val="000B4310"/>
    <w:rsid w:val="000B4D19"/>
    <w:rsid w:val="000B4F58"/>
    <w:rsid w:val="000B69E5"/>
    <w:rsid w:val="000B7BCF"/>
    <w:rsid w:val="000C0524"/>
    <w:rsid w:val="000C2CA3"/>
    <w:rsid w:val="000C2D34"/>
    <w:rsid w:val="000C415C"/>
    <w:rsid w:val="000C416C"/>
    <w:rsid w:val="000C4AA7"/>
    <w:rsid w:val="000C509E"/>
    <w:rsid w:val="000C522B"/>
    <w:rsid w:val="000C5567"/>
    <w:rsid w:val="000C5B7B"/>
    <w:rsid w:val="000C5C7E"/>
    <w:rsid w:val="000C5DF5"/>
    <w:rsid w:val="000C77C8"/>
    <w:rsid w:val="000C7894"/>
    <w:rsid w:val="000C7C30"/>
    <w:rsid w:val="000D049B"/>
    <w:rsid w:val="000D0B0C"/>
    <w:rsid w:val="000D137A"/>
    <w:rsid w:val="000D22B4"/>
    <w:rsid w:val="000D28F7"/>
    <w:rsid w:val="000D30A2"/>
    <w:rsid w:val="000D3C9D"/>
    <w:rsid w:val="000D4A15"/>
    <w:rsid w:val="000D58AB"/>
    <w:rsid w:val="000D639D"/>
    <w:rsid w:val="000D6B39"/>
    <w:rsid w:val="000D7982"/>
    <w:rsid w:val="000E427B"/>
    <w:rsid w:val="000E49BE"/>
    <w:rsid w:val="000E55A2"/>
    <w:rsid w:val="000E5617"/>
    <w:rsid w:val="000E6697"/>
    <w:rsid w:val="000F03B7"/>
    <w:rsid w:val="000F0E25"/>
    <w:rsid w:val="000F2F84"/>
    <w:rsid w:val="000F30BC"/>
    <w:rsid w:val="000F342D"/>
    <w:rsid w:val="000F5547"/>
    <w:rsid w:val="000F5CC9"/>
    <w:rsid w:val="000F5DDE"/>
    <w:rsid w:val="000F796E"/>
    <w:rsid w:val="00101232"/>
    <w:rsid w:val="00101A48"/>
    <w:rsid w:val="00101BA1"/>
    <w:rsid w:val="00101E28"/>
    <w:rsid w:val="001028CA"/>
    <w:rsid w:val="00102DAD"/>
    <w:rsid w:val="00102FE8"/>
    <w:rsid w:val="00104704"/>
    <w:rsid w:val="00105F13"/>
    <w:rsid w:val="00106455"/>
    <w:rsid w:val="001072AB"/>
    <w:rsid w:val="00107EE0"/>
    <w:rsid w:val="0011222A"/>
    <w:rsid w:val="00112808"/>
    <w:rsid w:val="001130B5"/>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5E66"/>
    <w:rsid w:val="00126209"/>
    <w:rsid w:val="00126D29"/>
    <w:rsid w:val="001271C1"/>
    <w:rsid w:val="00130949"/>
    <w:rsid w:val="00131495"/>
    <w:rsid w:val="0013234A"/>
    <w:rsid w:val="00134105"/>
    <w:rsid w:val="0013487C"/>
    <w:rsid w:val="00134D10"/>
    <w:rsid w:val="0013569E"/>
    <w:rsid w:val="00135C51"/>
    <w:rsid w:val="00135E44"/>
    <w:rsid w:val="00135EC2"/>
    <w:rsid w:val="00137B44"/>
    <w:rsid w:val="00140C86"/>
    <w:rsid w:val="001415F7"/>
    <w:rsid w:val="0014488C"/>
    <w:rsid w:val="00145075"/>
    <w:rsid w:val="0014593A"/>
    <w:rsid w:val="00145DD6"/>
    <w:rsid w:val="00146FB1"/>
    <w:rsid w:val="0014714F"/>
    <w:rsid w:val="0014751F"/>
    <w:rsid w:val="00147B8F"/>
    <w:rsid w:val="00147D5A"/>
    <w:rsid w:val="0015058A"/>
    <w:rsid w:val="00152357"/>
    <w:rsid w:val="00152D01"/>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B0C"/>
    <w:rsid w:val="00163DF7"/>
    <w:rsid w:val="00163E1F"/>
    <w:rsid w:val="00165EF0"/>
    <w:rsid w:val="00167246"/>
    <w:rsid w:val="00167A87"/>
    <w:rsid w:val="001724DF"/>
    <w:rsid w:val="00174173"/>
    <w:rsid w:val="001741A0"/>
    <w:rsid w:val="001752F1"/>
    <w:rsid w:val="001767D8"/>
    <w:rsid w:val="001769F9"/>
    <w:rsid w:val="00176A6D"/>
    <w:rsid w:val="0017733D"/>
    <w:rsid w:val="0017736D"/>
    <w:rsid w:val="001801CC"/>
    <w:rsid w:val="00180908"/>
    <w:rsid w:val="00180D01"/>
    <w:rsid w:val="00181456"/>
    <w:rsid w:val="00181A75"/>
    <w:rsid w:val="001822E5"/>
    <w:rsid w:val="00182DE1"/>
    <w:rsid w:val="00183165"/>
    <w:rsid w:val="001833C6"/>
    <w:rsid w:val="00183953"/>
    <w:rsid w:val="0018480E"/>
    <w:rsid w:val="00184F2E"/>
    <w:rsid w:val="0018600C"/>
    <w:rsid w:val="00186DE6"/>
    <w:rsid w:val="00190142"/>
    <w:rsid w:val="00190C58"/>
    <w:rsid w:val="00194CC5"/>
    <w:rsid w:val="00194CD0"/>
    <w:rsid w:val="00196C23"/>
    <w:rsid w:val="00196DF8"/>
    <w:rsid w:val="0019734B"/>
    <w:rsid w:val="0019788E"/>
    <w:rsid w:val="00197EEF"/>
    <w:rsid w:val="001A16DE"/>
    <w:rsid w:val="001A2B4C"/>
    <w:rsid w:val="001A33F0"/>
    <w:rsid w:val="001A6D44"/>
    <w:rsid w:val="001A6D8E"/>
    <w:rsid w:val="001A7342"/>
    <w:rsid w:val="001A77E8"/>
    <w:rsid w:val="001B059A"/>
    <w:rsid w:val="001B39BC"/>
    <w:rsid w:val="001B3DF2"/>
    <w:rsid w:val="001B49C9"/>
    <w:rsid w:val="001B560A"/>
    <w:rsid w:val="001B5FCC"/>
    <w:rsid w:val="001B6282"/>
    <w:rsid w:val="001B6FF1"/>
    <w:rsid w:val="001B720E"/>
    <w:rsid w:val="001B7C2D"/>
    <w:rsid w:val="001C01CB"/>
    <w:rsid w:val="001C0CD7"/>
    <w:rsid w:val="001C27DC"/>
    <w:rsid w:val="001C28B2"/>
    <w:rsid w:val="001C2B2E"/>
    <w:rsid w:val="001C332E"/>
    <w:rsid w:val="001C595C"/>
    <w:rsid w:val="001C6634"/>
    <w:rsid w:val="001D1176"/>
    <w:rsid w:val="001D15C1"/>
    <w:rsid w:val="001D3740"/>
    <w:rsid w:val="001D379F"/>
    <w:rsid w:val="001D3A7D"/>
    <w:rsid w:val="001D3DAA"/>
    <w:rsid w:val="001D4FB0"/>
    <w:rsid w:val="001D599B"/>
    <w:rsid w:val="001D6CF3"/>
    <w:rsid w:val="001E0721"/>
    <w:rsid w:val="001E217E"/>
    <w:rsid w:val="001E284D"/>
    <w:rsid w:val="001E2C8F"/>
    <w:rsid w:val="001E53A0"/>
    <w:rsid w:val="001E5C04"/>
    <w:rsid w:val="001E70D7"/>
    <w:rsid w:val="001E79A4"/>
    <w:rsid w:val="001F034A"/>
    <w:rsid w:val="001F10E0"/>
    <w:rsid w:val="001F168B"/>
    <w:rsid w:val="001F1CFE"/>
    <w:rsid w:val="001F2E7F"/>
    <w:rsid w:val="001F34F3"/>
    <w:rsid w:val="001F5491"/>
    <w:rsid w:val="001F5C44"/>
    <w:rsid w:val="001F5CC4"/>
    <w:rsid w:val="001F632B"/>
    <w:rsid w:val="001F675C"/>
    <w:rsid w:val="001F7831"/>
    <w:rsid w:val="0020111A"/>
    <w:rsid w:val="0020159A"/>
    <w:rsid w:val="002016BF"/>
    <w:rsid w:val="00201844"/>
    <w:rsid w:val="00201B08"/>
    <w:rsid w:val="0020204C"/>
    <w:rsid w:val="002029A9"/>
    <w:rsid w:val="00202C94"/>
    <w:rsid w:val="00203645"/>
    <w:rsid w:val="00203690"/>
    <w:rsid w:val="0020370C"/>
    <w:rsid w:val="00204045"/>
    <w:rsid w:val="0020425F"/>
    <w:rsid w:val="00206ED3"/>
    <w:rsid w:val="00207079"/>
    <w:rsid w:val="00207C9E"/>
    <w:rsid w:val="0021353E"/>
    <w:rsid w:val="002138DD"/>
    <w:rsid w:val="00214E95"/>
    <w:rsid w:val="00215C7D"/>
    <w:rsid w:val="00216471"/>
    <w:rsid w:val="00216FA7"/>
    <w:rsid w:val="002202EB"/>
    <w:rsid w:val="00220646"/>
    <w:rsid w:val="00221DC7"/>
    <w:rsid w:val="00221E06"/>
    <w:rsid w:val="00222C75"/>
    <w:rsid w:val="0022361C"/>
    <w:rsid w:val="00223AD3"/>
    <w:rsid w:val="00224198"/>
    <w:rsid w:val="002244A9"/>
    <w:rsid w:val="00225498"/>
    <w:rsid w:val="002256A6"/>
    <w:rsid w:val="0022589F"/>
    <w:rsid w:val="0022606D"/>
    <w:rsid w:val="00226205"/>
    <w:rsid w:val="00226347"/>
    <w:rsid w:val="002265BD"/>
    <w:rsid w:val="00233196"/>
    <w:rsid w:val="00233A4C"/>
    <w:rsid w:val="00235144"/>
    <w:rsid w:val="00235846"/>
    <w:rsid w:val="0023614D"/>
    <w:rsid w:val="002364A5"/>
    <w:rsid w:val="00241041"/>
    <w:rsid w:val="002414EA"/>
    <w:rsid w:val="00242D19"/>
    <w:rsid w:val="002442CA"/>
    <w:rsid w:val="0024450E"/>
    <w:rsid w:val="0024485F"/>
    <w:rsid w:val="00245B7D"/>
    <w:rsid w:val="0024608F"/>
    <w:rsid w:val="002470F3"/>
    <w:rsid w:val="00250812"/>
    <w:rsid w:val="00250B04"/>
    <w:rsid w:val="00253909"/>
    <w:rsid w:val="0025406F"/>
    <w:rsid w:val="00254484"/>
    <w:rsid w:val="00256B66"/>
    <w:rsid w:val="002601A9"/>
    <w:rsid w:val="00260AE7"/>
    <w:rsid w:val="00262113"/>
    <w:rsid w:val="0026214B"/>
    <w:rsid w:val="00262EDD"/>
    <w:rsid w:val="00263160"/>
    <w:rsid w:val="0026614D"/>
    <w:rsid w:val="0027053F"/>
    <w:rsid w:val="00270F19"/>
    <w:rsid w:val="00271E30"/>
    <w:rsid w:val="00271E96"/>
    <w:rsid w:val="00272C79"/>
    <w:rsid w:val="002747EC"/>
    <w:rsid w:val="00274E85"/>
    <w:rsid w:val="0027537D"/>
    <w:rsid w:val="00276F43"/>
    <w:rsid w:val="002779A1"/>
    <w:rsid w:val="002805EC"/>
    <w:rsid w:val="002810CC"/>
    <w:rsid w:val="00281980"/>
    <w:rsid w:val="002828C0"/>
    <w:rsid w:val="00282E36"/>
    <w:rsid w:val="0028311E"/>
    <w:rsid w:val="0028317A"/>
    <w:rsid w:val="00284EF7"/>
    <w:rsid w:val="002855BF"/>
    <w:rsid w:val="00290FC1"/>
    <w:rsid w:val="002927F2"/>
    <w:rsid w:val="00293031"/>
    <w:rsid w:val="002956AA"/>
    <w:rsid w:val="002966A8"/>
    <w:rsid w:val="00296DE5"/>
    <w:rsid w:val="002A00A9"/>
    <w:rsid w:val="002A09FF"/>
    <w:rsid w:val="002A2720"/>
    <w:rsid w:val="002A4AD1"/>
    <w:rsid w:val="002A64CB"/>
    <w:rsid w:val="002A717B"/>
    <w:rsid w:val="002B17AD"/>
    <w:rsid w:val="002B2FC5"/>
    <w:rsid w:val="002B4AC3"/>
    <w:rsid w:val="002B4DF3"/>
    <w:rsid w:val="002B69DE"/>
    <w:rsid w:val="002B6ACD"/>
    <w:rsid w:val="002B7133"/>
    <w:rsid w:val="002B7158"/>
    <w:rsid w:val="002C20DD"/>
    <w:rsid w:val="002C3919"/>
    <w:rsid w:val="002C3CD3"/>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4B8D"/>
    <w:rsid w:val="002F55AC"/>
    <w:rsid w:val="002F615F"/>
    <w:rsid w:val="002F61D6"/>
    <w:rsid w:val="0030002C"/>
    <w:rsid w:val="003007BF"/>
    <w:rsid w:val="0030249C"/>
    <w:rsid w:val="00303515"/>
    <w:rsid w:val="00304F03"/>
    <w:rsid w:val="00305ECA"/>
    <w:rsid w:val="00306271"/>
    <w:rsid w:val="00311805"/>
    <w:rsid w:val="003118DC"/>
    <w:rsid w:val="00311E70"/>
    <w:rsid w:val="00312399"/>
    <w:rsid w:val="00312A2C"/>
    <w:rsid w:val="00313562"/>
    <w:rsid w:val="003136AE"/>
    <w:rsid w:val="00314064"/>
    <w:rsid w:val="00314429"/>
    <w:rsid w:val="0031467C"/>
    <w:rsid w:val="0031600F"/>
    <w:rsid w:val="00316444"/>
    <w:rsid w:val="00316792"/>
    <w:rsid w:val="003169A2"/>
    <w:rsid w:val="003172DC"/>
    <w:rsid w:val="00317B8C"/>
    <w:rsid w:val="0032049C"/>
    <w:rsid w:val="00320A6B"/>
    <w:rsid w:val="00320E41"/>
    <w:rsid w:val="00321520"/>
    <w:rsid w:val="00322D89"/>
    <w:rsid w:val="003237E8"/>
    <w:rsid w:val="00323C14"/>
    <w:rsid w:val="0032434D"/>
    <w:rsid w:val="00326019"/>
    <w:rsid w:val="00326069"/>
    <w:rsid w:val="00326242"/>
    <w:rsid w:val="0033176D"/>
    <w:rsid w:val="00331D99"/>
    <w:rsid w:val="00333081"/>
    <w:rsid w:val="00335983"/>
    <w:rsid w:val="00335990"/>
    <w:rsid w:val="003360BD"/>
    <w:rsid w:val="00336957"/>
    <w:rsid w:val="00336CEE"/>
    <w:rsid w:val="00336E72"/>
    <w:rsid w:val="00336F8B"/>
    <w:rsid w:val="00337B1A"/>
    <w:rsid w:val="003408F6"/>
    <w:rsid w:val="00340AC4"/>
    <w:rsid w:val="003414FC"/>
    <w:rsid w:val="003417CA"/>
    <w:rsid w:val="003418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2554"/>
    <w:rsid w:val="00353EFF"/>
    <w:rsid w:val="003543AB"/>
    <w:rsid w:val="0035462D"/>
    <w:rsid w:val="00354E1B"/>
    <w:rsid w:val="003550F0"/>
    <w:rsid w:val="00356D43"/>
    <w:rsid w:val="003577E7"/>
    <w:rsid w:val="003603A9"/>
    <w:rsid w:val="00360AEC"/>
    <w:rsid w:val="00360E1A"/>
    <w:rsid w:val="003611C1"/>
    <w:rsid w:val="00361EB3"/>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C2A"/>
    <w:rsid w:val="00384E6A"/>
    <w:rsid w:val="00384F96"/>
    <w:rsid w:val="00385877"/>
    <w:rsid w:val="003860EA"/>
    <w:rsid w:val="0038677D"/>
    <w:rsid w:val="0039145F"/>
    <w:rsid w:val="00391544"/>
    <w:rsid w:val="0039162B"/>
    <w:rsid w:val="003918E2"/>
    <w:rsid w:val="003921CE"/>
    <w:rsid w:val="00394322"/>
    <w:rsid w:val="00395806"/>
    <w:rsid w:val="00395B40"/>
    <w:rsid w:val="003A1265"/>
    <w:rsid w:val="003A16C0"/>
    <w:rsid w:val="003A3EA0"/>
    <w:rsid w:val="003A40EE"/>
    <w:rsid w:val="003A415E"/>
    <w:rsid w:val="003A4664"/>
    <w:rsid w:val="003A4749"/>
    <w:rsid w:val="003A4DA4"/>
    <w:rsid w:val="003A4E37"/>
    <w:rsid w:val="003A50F8"/>
    <w:rsid w:val="003A5C13"/>
    <w:rsid w:val="003A663B"/>
    <w:rsid w:val="003A7F6E"/>
    <w:rsid w:val="003B142A"/>
    <w:rsid w:val="003B1B8C"/>
    <w:rsid w:val="003B2D03"/>
    <w:rsid w:val="003B372F"/>
    <w:rsid w:val="003B3B2C"/>
    <w:rsid w:val="003B3DFA"/>
    <w:rsid w:val="003B40AD"/>
    <w:rsid w:val="003B5BB7"/>
    <w:rsid w:val="003B6713"/>
    <w:rsid w:val="003B77E2"/>
    <w:rsid w:val="003B7AD1"/>
    <w:rsid w:val="003C0176"/>
    <w:rsid w:val="003C0FA8"/>
    <w:rsid w:val="003C1BCC"/>
    <w:rsid w:val="003C2271"/>
    <w:rsid w:val="003C4A24"/>
    <w:rsid w:val="003C4E37"/>
    <w:rsid w:val="003C5F4F"/>
    <w:rsid w:val="003C6194"/>
    <w:rsid w:val="003C66DE"/>
    <w:rsid w:val="003C7BAB"/>
    <w:rsid w:val="003D0659"/>
    <w:rsid w:val="003D0AEF"/>
    <w:rsid w:val="003D1462"/>
    <w:rsid w:val="003D159B"/>
    <w:rsid w:val="003D2286"/>
    <w:rsid w:val="003D2B58"/>
    <w:rsid w:val="003D2C5B"/>
    <w:rsid w:val="003D3F2A"/>
    <w:rsid w:val="003D3FB5"/>
    <w:rsid w:val="003D5041"/>
    <w:rsid w:val="003D561D"/>
    <w:rsid w:val="003D6072"/>
    <w:rsid w:val="003D7042"/>
    <w:rsid w:val="003D762B"/>
    <w:rsid w:val="003E04BB"/>
    <w:rsid w:val="003E16BE"/>
    <w:rsid w:val="003E1F2D"/>
    <w:rsid w:val="003E2393"/>
    <w:rsid w:val="003E4A6A"/>
    <w:rsid w:val="003E4DDA"/>
    <w:rsid w:val="003E588D"/>
    <w:rsid w:val="003E6C37"/>
    <w:rsid w:val="003E6D72"/>
    <w:rsid w:val="003F037E"/>
    <w:rsid w:val="003F1AF2"/>
    <w:rsid w:val="003F201D"/>
    <w:rsid w:val="003F28F4"/>
    <w:rsid w:val="003F3E81"/>
    <w:rsid w:val="003F7693"/>
    <w:rsid w:val="003F799F"/>
    <w:rsid w:val="003F7BB3"/>
    <w:rsid w:val="00400113"/>
    <w:rsid w:val="0040078B"/>
    <w:rsid w:val="00400AF9"/>
    <w:rsid w:val="00401520"/>
    <w:rsid w:val="00401855"/>
    <w:rsid w:val="00402AC2"/>
    <w:rsid w:val="004032C7"/>
    <w:rsid w:val="00403C9A"/>
    <w:rsid w:val="00404FC3"/>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745"/>
    <w:rsid w:val="00430D92"/>
    <w:rsid w:val="004316D5"/>
    <w:rsid w:val="004330A7"/>
    <w:rsid w:val="0043393F"/>
    <w:rsid w:val="0043492C"/>
    <w:rsid w:val="00435311"/>
    <w:rsid w:val="004378F1"/>
    <w:rsid w:val="00437E0C"/>
    <w:rsid w:val="00440AA6"/>
    <w:rsid w:val="00443341"/>
    <w:rsid w:val="00443D64"/>
    <w:rsid w:val="00445233"/>
    <w:rsid w:val="00446B6D"/>
    <w:rsid w:val="00447717"/>
    <w:rsid w:val="004477E7"/>
    <w:rsid w:val="00447946"/>
    <w:rsid w:val="004522CC"/>
    <w:rsid w:val="00453473"/>
    <w:rsid w:val="0045378B"/>
    <w:rsid w:val="00454656"/>
    <w:rsid w:val="00456872"/>
    <w:rsid w:val="00456B3D"/>
    <w:rsid w:val="004570B4"/>
    <w:rsid w:val="00457661"/>
    <w:rsid w:val="0045781D"/>
    <w:rsid w:val="00460045"/>
    <w:rsid w:val="00463569"/>
    <w:rsid w:val="0046554A"/>
    <w:rsid w:val="00465CB0"/>
    <w:rsid w:val="00466012"/>
    <w:rsid w:val="00466468"/>
    <w:rsid w:val="004672EE"/>
    <w:rsid w:val="00467A94"/>
    <w:rsid w:val="00467AC6"/>
    <w:rsid w:val="00471CDE"/>
    <w:rsid w:val="00471FE7"/>
    <w:rsid w:val="0047331C"/>
    <w:rsid w:val="00474C33"/>
    <w:rsid w:val="0047536C"/>
    <w:rsid w:val="004761C3"/>
    <w:rsid w:val="00476400"/>
    <w:rsid w:val="0047695E"/>
    <w:rsid w:val="00476C52"/>
    <w:rsid w:val="00476CAD"/>
    <w:rsid w:val="00477455"/>
    <w:rsid w:val="004807E3"/>
    <w:rsid w:val="0048130D"/>
    <w:rsid w:val="004832C4"/>
    <w:rsid w:val="00483C1D"/>
    <w:rsid w:val="00485492"/>
    <w:rsid w:val="00485BDB"/>
    <w:rsid w:val="00486314"/>
    <w:rsid w:val="00486410"/>
    <w:rsid w:val="004864C2"/>
    <w:rsid w:val="00486FEA"/>
    <w:rsid w:val="00487376"/>
    <w:rsid w:val="00490D5E"/>
    <w:rsid w:val="00491130"/>
    <w:rsid w:val="00492258"/>
    <w:rsid w:val="00492558"/>
    <w:rsid w:val="00494EA9"/>
    <w:rsid w:val="0049656C"/>
    <w:rsid w:val="004972DD"/>
    <w:rsid w:val="004A0319"/>
    <w:rsid w:val="004A087E"/>
    <w:rsid w:val="004A2B72"/>
    <w:rsid w:val="004A2D7D"/>
    <w:rsid w:val="004A32F3"/>
    <w:rsid w:val="004A4700"/>
    <w:rsid w:val="004A5255"/>
    <w:rsid w:val="004A59FA"/>
    <w:rsid w:val="004A65D2"/>
    <w:rsid w:val="004A68F4"/>
    <w:rsid w:val="004A7FC3"/>
    <w:rsid w:val="004B20E3"/>
    <w:rsid w:val="004B2BFB"/>
    <w:rsid w:val="004B3997"/>
    <w:rsid w:val="004B39DD"/>
    <w:rsid w:val="004B41F8"/>
    <w:rsid w:val="004B5CED"/>
    <w:rsid w:val="004B6388"/>
    <w:rsid w:val="004B68D7"/>
    <w:rsid w:val="004B7120"/>
    <w:rsid w:val="004B7EFD"/>
    <w:rsid w:val="004C1531"/>
    <w:rsid w:val="004C1974"/>
    <w:rsid w:val="004C229D"/>
    <w:rsid w:val="004C2748"/>
    <w:rsid w:val="004C2E68"/>
    <w:rsid w:val="004C400B"/>
    <w:rsid w:val="004C5A95"/>
    <w:rsid w:val="004C6BCC"/>
    <w:rsid w:val="004C7E7C"/>
    <w:rsid w:val="004D1DC6"/>
    <w:rsid w:val="004D279C"/>
    <w:rsid w:val="004D2E38"/>
    <w:rsid w:val="004D3578"/>
    <w:rsid w:val="004D380D"/>
    <w:rsid w:val="004D383A"/>
    <w:rsid w:val="004D77B2"/>
    <w:rsid w:val="004E0C79"/>
    <w:rsid w:val="004E0CD4"/>
    <w:rsid w:val="004E0F68"/>
    <w:rsid w:val="004E213A"/>
    <w:rsid w:val="004E2910"/>
    <w:rsid w:val="004E2917"/>
    <w:rsid w:val="004E383E"/>
    <w:rsid w:val="004E48C4"/>
    <w:rsid w:val="004E7CCA"/>
    <w:rsid w:val="004F0D18"/>
    <w:rsid w:val="004F0DE1"/>
    <w:rsid w:val="004F10A5"/>
    <w:rsid w:val="004F114C"/>
    <w:rsid w:val="004F156A"/>
    <w:rsid w:val="004F158C"/>
    <w:rsid w:val="004F51B8"/>
    <w:rsid w:val="004F76F3"/>
    <w:rsid w:val="00502735"/>
    <w:rsid w:val="00502BC6"/>
    <w:rsid w:val="00503171"/>
    <w:rsid w:val="005037A0"/>
    <w:rsid w:val="0050524D"/>
    <w:rsid w:val="00506900"/>
    <w:rsid w:val="00506C28"/>
    <w:rsid w:val="00507DCE"/>
    <w:rsid w:val="00511F56"/>
    <w:rsid w:val="0051299A"/>
    <w:rsid w:val="00513DAA"/>
    <w:rsid w:val="0051442A"/>
    <w:rsid w:val="00516518"/>
    <w:rsid w:val="005166D3"/>
    <w:rsid w:val="005169F2"/>
    <w:rsid w:val="0051770A"/>
    <w:rsid w:val="00521478"/>
    <w:rsid w:val="00521A68"/>
    <w:rsid w:val="005228A9"/>
    <w:rsid w:val="00522978"/>
    <w:rsid w:val="005234CD"/>
    <w:rsid w:val="005239AF"/>
    <w:rsid w:val="00523FEE"/>
    <w:rsid w:val="0052482C"/>
    <w:rsid w:val="005248EE"/>
    <w:rsid w:val="00527DE0"/>
    <w:rsid w:val="00530FE9"/>
    <w:rsid w:val="00531145"/>
    <w:rsid w:val="00532A92"/>
    <w:rsid w:val="00534DA0"/>
    <w:rsid w:val="00534F52"/>
    <w:rsid w:val="0053506A"/>
    <w:rsid w:val="0053556B"/>
    <w:rsid w:val="00536B0D"/>
    <w:rsid w:val="00537685"/>
    <w:rsid w:val="00540007"/>
    <w:rsid w:val="005421C2"/>
    <w:rsid w:val="00542D97"/>
    <w:rsid w:val="00543E6C"/>
    <w:rsid w:val="00543F5F"/>
    <w:rsid w:val="0054417F"/>
    <w:rsid w:val="005455C1"/>
    <w:rsid w:val="00546749"/>
    <w:rsid w:val="00546C98"/>
    <w:rsid w:val="00546CB4"/>
    <w:rsid w:val="0055050A"/>
    <w:rsid w:val="005506D7"/>
    <w:rsid w:val="005513E1"/>
    <w:rsid w:val="00551ED5"/>
    <w:rsid w:val="00551ED6"/>
    <w:rsid w:val="00551F97"/>
    <w:rsid w:val="00552D11"/>
    <w:rsid w:val="00553021"/>
    <w:rsid w:val="005547C7"/>
    <w:rsid w:val="005547F0"/>
    <w:rsid w:val="00557038"/>
    <w:rsid w:val="00560655"/>
    <w:rsid w:val="0056076A"/>
    <w:rsid w:val="00560BDB"/>
    <w:rsid w:val="00560CAA"/>
    <w:rsid w:val="00561CD2"/>
    <w:rsid w:val="00562314"/>
    <w:rsid w:val="0056469D"/>
    <w:rsid w:val="0056480F"/>
    <w:rsid w:val="00565087"/>
    <w:rsid w:val="0056573F"/>
    <w:rsid w:val="00566566"/>
    <w:rsid w:val="005702AA"/>
    <w:rsid w:val="0057072F"/>
    <w:rsid w:val="00570858"/>
    <w:rsid w:val="0057085C"/>
    <w:rsid w:val="0057139D"/>
    <w:rsid w:val="0057178A"/>
    <w:rsid w:val="00571FB4"/>
    <w:rsid w:val="00573B7D"/>
    <w:rsid w:val="00573D8D"/>
    <w:rsid w:val="00573DDF"/>
    <w:rsid w:val="005740A5"/>
    <w:rsid w:val="0057551C"/>
    <w:rsid w:val="0057609B"/>
    <w:rsid w:val="0057656C"/>
    <w:rsid w:val="0058047C"/>
    <w:rsid w:val="00580A44"/>
    <w:rsid w:val="00580E96"/>
    <w:rsid w:val="005814ED"/>
    <w:rsid w:val="00582CDB"/>
    <w:rsid w:val="00584EE9"/>
    <w:rsid w:val="005855AB"/>
    <w:rsid w:val="005862E2"/>
    <w:rsid w:val="00586897"/>
    <w:rsid w:val="00586CF6"/>
    <w:rsid w:val="00587B48"/>
    <w:rsid w:val="005900CE"/>
    <w:rsid w:val="00591100"/>
    <w:rsid w:val="005913BD"/>
    <w:rsid w:val="005920E6"/>
    <w:rsid w:val="005937D0"/>
    <w:rsid w:val="00593B6E"/>
    <w:rsid w:val="0059652A"/>
    <w:rsid w:val="0059766B"/>
    <w:rsid w:val="005A077E"/>
    <w:rsid w:val="005A0B84"/>
    <w:rsid w:val="005A0BC5"/>
    <w:rsid w:val="005A11E5"/>
    <w:rsid w:val="005A14B6"/>
    <w:rsid w:val="005A166D"/>
    <w:rsid w:val="005A6916"/>
    <w:rsid w:val="005A73AD"/>
    <w:rsid w:val="005A7C92"/>
    <w:rsid w:val="005B0172"/>
    <w:rsid w:val="005B1DC5"/>
    <w:rsid w:val="005B249B"/>
    <w:rsid w:val="005B30ED"/>
    <w:rsid w:val="005B3C9A"/>
    <w:rsid w:val="005B3F3E"/>
    <w:rsid w:val="005B4474"/>
    <w:rsid w:val="005B46AD"/>
    <w:rsid w:val="005C0207"/>
    <w:rsid w:val="005C13F7"/>
    <w:rsid w:val="005C15EC"/>
    <w:rsid w:val="005C2845"/>
    <w:rsid w:val="005C3242"/>
    <w:rsid w:val="005C3856"/>
    <w:rsid w:val="005C43EE"/>
    <w:rsid w:val="005C528A"/>
    <w:rsid w:val="005C7258"/>
    <w:rsid w:val="005C7E45"/>
    <w:rsid w:val="005D3307"/>
    <w:rsid w:val="005D4D93"/>
    <w:rsid w:val="005D53AD"/>
    <w:rsid w:val="005D5447"/>
    <w:rsid w:val="005D661E"/>
    <w:rsid w:val="005E1A07"/>
    <w:rsid w:val="005E1DC7"/>
    <w:rsid w:val="005E359C"/>
    <w:rsid w:val="005E5D4F"/>
    <w:rsid w:val="005E6A6C"/>
    <w:rsid w:val="005F071B"/>
    <w:rsid w:val="005F0D37"/>
    <w:rsid w:val="005F21F1"/>
    <w:rsid w:val="005F2EDF"/>
    <w:rsid w:val="005F35EA"/>
    <w:rsid w:val="005F3692"/>
    <w:rsid w:val="005F4E8E"/>
    <w:rsid w:val="005F70C3"/>
    <w:rsid w:val="005F7843"/>
    <w:rsid w:val="005F7BA9"/>
    <w:rsid w:val="0060164A"/>
    <w:rsid w:val="00602641"/>
    <w:rsid w:val="00602A37"/>
    <w:rsid w:val="00603219"/>
    <w:rsid w:val="00604765"/>
    <w:rsid w:val="00605118"/>
    <w:rsid w:val="006067A4"/>
    <w:rsid w:val="006112AF"/>
    <w:rsid w:val="00611566"/>
    <w:rsid w:val="00612061"/>
    <w:rsid w:val="00613340"/>
    <w:rsid w:val="00614757"/>
    <w:rsid w:val="00614EE6"/>
    <w:rsid w:val="00615CCD"/>
    <w:rsid w:val="00616C95"/>
    <w:rsid w:val="00621140"/>
    <w:rsid w:val="006211DA"/>
    <w:rsid w:val="00621371"/>
    <w:rsid w:val="00623713"/>
    <w:rsid w:val="00623A25"/>
    <w:rsid w:val="00623F44"/>
    <w:rsid w:val="00624826"/>
    <w:rsid w:val="00626696"/>
    <w:rsid w:val="00626997"/>
    <w:rsid w:val="0062739F"/>
    <w:rsid w:val="00627458"/>
    <w:rsid w:val="00631DBD"/>
    <w:rsid w:val="00632222"/>
    <w:rsid w:val="0063560B"/>
    <w:rsid w:val="00635F47"/>
    <w:rsid w:val="006362D1"/>
    <w:rsid w:val="00636F36"/>
    <w:rsid w:val="00641DC4"/>
    <w:rsid w:val="00641F14"/>
    <w:rsid w:val="00642910"/>
    <w:rsid w:val="00642C4E"/>
    <w:rsid w:val="0064411C"/>
    <w:rsid w:val="006441F6"/>
    <w:rsid w:val="006454FE"/>
    <w:rsid w:val="00645D44"/>
    <w:rsid w:val="006465F3"/>
    <w:rsid w:val="00646B77"/>
    <w:rsid w:val="00646D28"/>
    <w:rsid w:val="00646D99"/>
    <w:rsid w:val="00647E8B"/>
    <w:rsid w:val="00650084"/>
    <w:rsid w:val="00650AE8"/>
    <w:rsid w:val="00650F33"/>
    <w:rsid w:val="00651125"/>
    <w:rsid w:val="00651930"/>
    <w:rsid w:val="00651A6B"/>
    <w:rsid w:val="00652646"/>
    <w:rsid w:val="00652CF2"/>
    <w:rsid w:val="006531CD"/>
    <w:rsid w:val="00656910"/>
    <w:rsid w:val="00657C9E"/>
    <w:rsid w:val="006600CD"/>
    <w:rsid w:val="00660764"/>
    <w:rsid w:val="00661309"/>
    <w:rsid w:val="00661676"/>
    <w:rsid w:val="00662592"/>
    <w:rsid w:val="0066344B"/>
    <w:rsid w:val="00665BE7"/>
    <w:rsid w:val="00666483"/>
    <w:rsid w:val="00666BDE"/>
    <w:rsid w:val="00666DD5"/>
    <w:rsid w:val="006678B0"/>
    <w:rsid w:val="00670FA9"/>
    <w:rsid w:val="006729E9"/>
    <w:rsid w:val="00672A4E"/>
    <w:rsid w:val="00672E6C"/>
    <w:rsid w:val="006731E0"/>
    <w:rsid w:val="00674470"/>
    <w:rsid w:val="006762DC"/>
    <w:rsid w:val="006766A2"/>
    <w:rsid w:val="0068064C"/>
    <w:rsid w:val="00680C10"/>
    <w:rsid w:val="00680D5A"/>
    <w:rsid w:val="00680EE0"/>
    <w:rsid w:val="00681379"/>
    <w:rsid w:val="006829F2"/>
    <w:rsid w:val="00682D58"/>
    <w:rsid w:val="0068389F"/>
    <w:rsid w:val="006856CF"/>
    <w:rsid w:val="006861B5"/>
    <w:rsid w:val="00686AD1"/>
    <w:rsid w:val="006901D6"/>
    <w:rsid w:val="006926BA"/>
    <w:rsid w:val="00692FC3"/>
    <w:rsid w:val="00693326"/>
    <w:rsid w:val="00693373"/>
    <w:rsid w:val="00694012"/>
    <w:rsid w:val="00694D2A"/>
    <w:rsid w:val="006965CD"/>
    <w:rsid w:val="00696DF2"/>
    <w:rsid w:val="00697858"/>
    <w:rsid w:val="006A1436"/>
    <w:rsid w:val="006A180F"/>
    <w:rsid w:val="006A1B7F"/>
    <w:rsid w:val="006A334F"/>
    <w:rsid w:val="006A3D3E"/>
    <w:rsid w:val="006A3F0C"/>
    <w:rsid w:val="006A456D"/>
    <w:rsid w:val="006A48C8"/>
    <w:rsid w:val="006A5153"/>
    <w:rsid w:val="006A54BE"/>
    <w:rsid w:val="006A6944"/>
    <w:rsid w:val="006A6AE6"/>
    <w:rsid w:val="006A6D27"/>
    <w:rsid w:val="006B0254"/>
    <w:rsid w:val="006B18BE"/>
    <w:rsid w:val="006B1EBB"/>
    <w:rsid w:val="006B209C"/>
    <w:rsid w:val="006B4D84"/>
    <w:rsid w:val="006B605E"/>
    <w:rsid w:val="006B6466"/>
    <w:rsid w:val="006B6544"/>
    <w:rsid w:val="006B7943"/>
    <w:rsid w:val="006C1519"/>
    <w:rsid w:val="006C3894"/>
    <w:rsid w:val="006C4742"/>
    <w:rsid w:val="006C4CC8"/>
    <w:rsid w:val="006C6225"/>
    <w:rsid w:val="006C66D8"/>
    <w:rsid w:val="006C768F"/>
    <w:rsid w:val="006C7F23"/>
    <w:rsid w:val="006D00E2"/>
    <w:rsid w:val="006D0C80"/>
    <w:rsid w:val="006D0EC9"/>
    <w:rsid w:val="006D1315"/>
    <w:rsid w:val="006D1466"/>
    <w:rsid w:val="006D1E24"/>
    <w:rsid w:val="006D21DD"/>
    <w:rsid w:val="006D26EE"/>
    <w:rsid w:val="006D448F"/>
    <w:rsid w:val="006D4CB0"/>
    <w:rsid w:val="006D5E8F"/>
    <w:rsid w:val="006D6848"/>
    <w:rsid w:val="006D68C1"/>
    <w:rsid w:val="006D7D62"/>
    <w:rsid w:val="006E08C3"/>
    <w:rsid w:val="006E0D3F"/>
    <w:rsid w:val="006E1417"/>
    <w:rsid w:val="006E1583"/>
    <w:rsid w:val="006E3F49"/>
    <w:rsid w:val="006E4365"/>
    <w:rsid w:val="006E5AD2"/>
    <w:rsid w:val="006E6C16"/>
    <w:rsid w:val="006E7397"/>
    <w:rsid w:val="006F0D09"/>
    <w:rsid w:val="006F0EE0"/>
    <w:rsid w:val="006F1C88"/>
    <w:rsid w:val="006F25E4"/>
    <w:rsid w:val="006F2686"/>
    <w:rsid w:val="006F32EA"/>
    <w:rsid w:val="006F47F6"/>
    <w:rsid w:val="006F5D11"/>
    <w:rsid w:val="006F62AC"/>
    <w:rsid w:val="006F6A2C"/>
    <w:rsid w:val="006F6E95"/>
    <w:rsid w:val="006F78E6"/>
    <w:rsid w:val="00702AAA"/>
    <w:rsid w:val="00702F97"/>
    <w:rsid w:val="00704C10"/>
    <w:rsid w:val="00705D88"/>
    <w:rsid w:val="00706CEE"/>
    <w:rsid w:val="00710201"/>
    <w:rsid w:val="0071066B"/>
    <w:rsid w:val="00710A0D"/>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947"/>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25FF"/>
    <w:rsid w:val="00752AA4"/>
    <w:rsid w:val="00753591"/>
    <w:rsid w:val="007542F1"/>
    <w:rsid w:val="00754F5F"/>
    <w:rsid w:val="00757D40"/>
    <w:rsid w:val="00760022"/>
    <w:rsid w:val="00761B1F"/>
    <w:rsid w:val="00761C2B"/>
    <w:rsid w:val="007633DD"/>
    <w:rsid w:val="007636D3"/>
    <w:rsid w:val="00763D90"/>
    <w:rsid w:val="007658B7"/>
    <w:rsid w:val="007665C4"/>
    <w:rsid w:val="00766E43"/>
    <w:rsid w:val="0076792F"/>
    <w:rsid w:val="00771416"/>
    <w:rsid w:val="00771BCD"/>
    <w:rsid w:val="00771D29"/>
    <w:rsid w:val="00771E2F"/>
    <w:rsid w:val="00773A96"/>
    <w:rsid w:val="00773ACB"/>
    <w:rsid w:val="00776516"/>
    <w:rsid w:val="00776C2C"/>
    <w:rsid w:val="007811A2"/>
    <w:rsid w:val="00781E05"/>
    <w:rsid w:val="00781F0F"/>
    <w:rsid w:val="00781FA2"/>
    <w:rsid w:val="00782C71"/>
    <w:rsid w:val="007839DA"/>
    <w:rsid w:val="00783E27"/>
    <w:rsid w:val="0078448D"/>
    <w:rsid w:val="007846F6"/>
    <w:rsid w:val="007851AB"/>
    <w:rsid w:val="00785DE8"/>
    <w:rsid w:val="00786052"/>
    <w:rsid w:val="00786A8D"/>
    <w:rsid w:val="00786DED"/>
    <w:rsid w:val="0078727C"/>
    <w:rsid w:val="00787E4E"/>
    <w:rsid w:val="0079035C"/>
    <w:rsid w:val="0079049D"/>
    <w:rsid w:val="007911A9"/>
    <w:rsid w:val="0079126A"/>
    <w:rsid w:val="007914C8"/>
    <w:rsid w:val="00793451"/>
    <w:rsid w:val="00793504"/>
    <w:rsid w:val="00793A53"/>
    <w:rsid w:val="00793CCC"/>
    <w:rsid w:val="00793E48"/>
    <w:rsid w:val="00794590"/>
    <w:rsid w:val="0079664E"/>
    <w:rsid w:val="007970BE"/>
    <w:rsid w:val="007A0019"/>
    <w:rsid w:val="007A0634"/>
    <w:rsid w:val="007A17F0"/>
    <w:rsid w:val="007A2383"/>
    <w:rsid w:val="007A5735"/>
    <w:rsid w:val="007A72E5"/>
    <w:rsid w:val="007B12D7"/>
    <w:rsid w:val="007B18D8"/>
    <w:rsid w:val="007B27D2"/>
    <w:rsid w:val="007B3472"/>
    <w:rsid w:val="007B494B"/>
    <w:rsid w:val="007B5408"/>
    <w:rsid w:val="007B579C"/>
    <w:rsid w:val="007B5C20"/>
    <w:rsid w:val="007B7D44"/>
    <w:rsid w:val="007C095F"/>
    <w:rsid w:val="007C1897"/>
    <w:rsid w:val="007C2012"/>
    <w:rsid w:val="007C261C"/>
    <w:rsid w:val="007C2977"/>
    <w:rsid w:val="007C2EC4"/>
    <w:rsid w:val="007C3413"/>
    <w:rsid w:val="007C5F62"/>
    <w:rsid w:val="007C633B"/>
    <w:rsid w:val="007C67D2"/>
    <w:rsid w:val="007C77C4"/>
    <w:rsid w:val="007C7FA2"/>
    <w:rsid w:val="007D107C"/>
    <w:rsid w:val="007D1B85"/>
    <w:rsid w:val="007D1FD5"/>
    <w:rsid w:val="007D2D21"/>
    <w:rsid w:val="007D309E"/>
    <w:rsid w:val="007D3AF6"/>
    <w:rsid w:val="007D4B38"/>
    <w:rsid w:val="007D5BED"/>
    <w:rsid w:val="007D5EF6"/>
    <w:rsid w:val="007D692E"/>
    <w:rsid w:val="007D7D25"/>
    <w:rsid w:val="007E126A"/>
    <w:rsid w:val="007E4556"/>
    <w:rsid w:val="007E457A"/>
    <w:rsid w:val="007E515A"/>
    <w:rsid w:val="007E659C"/>
    <w:rsid w:val="007F04EE"/>
    <w:rsid w:val="007F14AD"/>
    <w:rsid w:val="007F31EB"/>
    <w:rsid w:val="007F436C"/>
    <w:rsid w:val="007F50CD"/>
    <w:rsid w:val="007F7268"/>
    <w:rsid w:val="007F7342"/>
    <w:rsid w:val="007F7946"/>
    <w:rsid w:val="008003D0"/>
    <w:rsid w:val="00800D57"/>
    <w:rsid w:val="00801BAD"/>
    <w:rsid w:val="00801D40"/>
    <w:rsid w:val="008028A4"/>
    <w:rsid w:val="00802F07"/>
    <w:rsid w:val="0080333D"/>
    <w:rsid w:val="00805D73"/>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5F8"/>
    <w:rsid w:val="00824755"/>
    <w:rsid w:val="008265B1"/>
    <w:rsid w:val="008267DC"/>
    <w:rsid w:val="00827C55"/>
    <w:rsid w:val="008301FB"/>
    <w:rsid w:val="008324A5"/>
    <w:rsid w:val="00834604"/>
    <w:rsid w:val="00834A6D"/>
    <w:rsid w:val="00835415"/>
    <w:rsid w:val="00840237"/>
    <w:rsid w:val="008412FF"/>
    <w:rsid w:val="00841EC5"/>
    <w:rsid w:val="00845E80"/>
    <w:rsid w:val="008460EF"/>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0EAA"/>
    <w:rsid w:val="008649E9"/>
    <w:rsid w:val="0086528E"/>
    <w:rsid w:val="00867D0B"/>
    <w:rsid w:val="00867F46"/>
    <w:rsid w:val="008709D6"/>
    <w:rsid w:val="00870B46"/>
    <w:rsid w:val="00872547"/>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87C80"/>
    <w:rsid w:val="00891620"/>
    <w:rsid w:val="008916F0"/>
    <w:rsid w:val="0089219F"/>
    <w:rsid w:val="00893663"/>
    <w:rsid w:val="00894069"/>
    <w:rsid w:val="00895302"/>
    <w:rsid w:val="008953A5"/>
    <w:rsid w:val="00896192"/>
    <w:rsid w:val="00896DF9"/>
    <w:rsid w:val="008A028F"/>
    <w:rsid w:val="008A0516"/>
    <w:rsid w:val="008A07BA"/>
    <w:rsid w:val="008A130F"/>
    <w:rsid w:val="008A15D5"/>
    <w:rsid w:val="008A1D28"/>
    <w:rsid w:val="008A203C"/>
    <w:rsid w:val="008A27FC"/>
    <w:rsid w:val="008A2D12"/>
    <w:rsid w:val="008A506B"/>
    <w:rsid w:val="008B0B0E"/>
    <w:rsid w:val="008B192A"/>
    <w:rsid w:val="008B1D4C"/>
    <w:rsid w:val="008B339E"/>
    <w:rsid w:val="008B44F1"/>
    <w:rsid w:val="008B477F"/>
    <w:rsid w:val="008B5306"/>
    <w:rsid w:val="008B681A"/>
    <w:rsid w:val="008C0E06"/>
    <w:rsid w:val="008C1100"/>
    <w:rsid w:val="008C1A63"/>
    <w:rsid w:val="008C20AD"/>
    <w:rsid w:val="008C20F7"/>
    <w:rsid w:val="008C35C7"/>
    <w:rsid w:val="008C3F92"/>
    <w:rsid w:val="008C42B8"/>
    <w:rsid w:val="008C4701"/>
    <w:rsid w:val="008C7888"/>
    <w:rsid w:val="008D05CE"/>
    <w:rsid w:val="008D0839"/>
    <w:rsid w:val="008D0BB8"/>
    <w:rsid w:val="008D1CD5"/>
    <w:rsid w:val="008D2258"/>
    <w:rsid w:val="008D467A"/>
    <w:rsid w:val="008D52CA"/>
    <w:rsid w:val="008D743A"/>
    <w:rsid w:val="008D7D45"/>
    <w:rsid w:val="008E0D01"/>
    <w:rsid w:val="008E131E"/>
    <w:rsid w:val="008E1371"/>
    <w:rsid w:val="008E139A"/>
    <w:rsid w:val="008E22FF"/>
    <w:rsid w:val="008E345E"/>
    <w:rsid w:val="008E3B19"/>
    <w:rsid w:val="008E412B"/>
    <w:rsid w:val="008E6578"/>
    <w:rsid w:val="008F2039"/>
    <w:rsid w:val="008F2BF7"/>
    <w:rsid w:val="008F2E9A"/>
    <w:rsid w:val="00901335"/>
    <w:rsid w:val="0090187C"/>
    <w:rsid w:val="009024E8"/>
    <w:rsid w:val="0090271F"/>
    <w:rsid w:val="00902DB9"/>
    <w:rsid w:val="00903DD4"/>
    <w:rsid w:val="0090466A"/>
    <w:rsid w:val="009047FD"/>
    <w:rsid w:val="00905102"/>
    <w:rsid w:val="009062D3"/>
    <w:rsid w:val="00907D1D"/>
    <w:rsid w:val="00907DD2"/>
    <w:rsid w:val="00911A3A"/>
    <w:rsid w:val="00911DEA"/>
    <w:rsid w:val="00912CD4"/>
    <w:rsid w:val="00915711"/>
    <w:rsid w:val="0091771F"/>
    <w:rsid w:val="00917ABE"/>
    <w:rsid w:val="0092024A"/>
    <w:rsid w:val="00921048"/>
    <w:rsid w:val="009213F5"/>
    <w:rsid w:val="0092184A"/>
    <w:rsid w:val="00921F58"/>
    <w:rsid w:val="009227F9"/>
    <w:rsid w:val="00922DC1"/>
    <w:rsid w:val="0092322B"/>
    <w:rsid w:val="009241C4"/>
    <w:rsid w:val="00924497"/>
    <w:rsid w:val="00924D2C"/>
    <w:rsid w:val="0092657D"/>
    <w:rsid w:val="00931360"/>
    <w:rsid w:val="00931AF4"/>
    <w:rsid w:val="00933F83"/>
    <w:rsid w:val="00936071"/>
    <w:rsid w:val="00936724"/>
    <w:rsid w:val="00940212"/>
    <w:rsid w:val="0094197F"/>
    <w:rsid w:val="0094223C"/>
    <w:rsid w:val="00942E6A"/>
    <w:rsid w:val="00942EC2"/>
    <w:rsid w:val="00943958"/>
    <w:rsid w:val="009442D7"/>
    <w:rsid w:val="009454B8"/>
    <w:rsid w:val="00945597"/>
    <w:rsid w:val="00945B30"/>
    <w:rsid w:val="009466BE"/>
    <w:rsid w:val="00946A16"/>
    <w:rsid w:val="0094798C"/>
    <w:rsid w:val="00951BE8"/>
    <w:rsid w:val="00952A0E"/>
    <w:rsid w:val="00952AA4"/>
    <w:rsid w:val="0095306B"/>
    <w:rsid w:val="0095382B"/>
    <w:rsid w:val="00955470"/>
    <w:rsid w:val="009556D0"/>
    <w:rsid w:val="00956408"/>
    <w:rsid w:val="00956A9D"/>
    <w:rsid w:val="00957D2B"/>
    <w:rsid w:val="00957E6F"/>
    <w:rsid w:val="00961B32"/>
    <w:rsid w:val="00962174"/>
    <w:rsid w:val="0096294B"/>
    <w:rsid w:val="0096408F"/>
    <w:rsid w:val="00964344"/>
    <w:rsid w:val="009647CF"/>
    <w:rsid w:val="009656AD"/>
    <w:rsid w:val="009658F8"/>
    <w:rsid w:val="00965966"/>
    <w:rsid w:val="00966BBD"/>
    <w:rsid w:val="0097016A"/>
    <w:rsid w:val="009709BE"/>
    <w:rsid w:val="00970DB3"/>
    <w:rsid w:val="00971212"/>
    <w:rsid w:val="009738F6"/>
    <w:rsid w:val="00974940"/>
    <w:rsid w:val="00974B05"/>
    <w:rsid w:val="00974BB0"/>
    <w:rsid w:val="00976F08"/>
    <w:rsid w:val="0097702E"/>
    <w:rsid w:val="009777CF"/>
    <w:rsid w:val="0098205E"/>
    <w:rsid w:val="00982997"/>
    <w:rsid w:val="00983387"/>
    <w:rsid w:val="00983BCB"/>
    <w:rsid w:val="00983F29"/>
    <w:rsid w:val="00984778"/>
    <w:rsid w:val="009851DF"/>
    <w:rsid w:val="009859BF"/>
    <w:rsid w:val="00986FC7"/>
    <w:rsid w:val="009871BA"/>
    <w:rsid w:val="009877F1"/>
    <w:rsid w:val="00990913"/>
    <w:rsid w:val="009915C0"/>
    <w:rsid w:val="00991EA8"/>
    <w:rsid w:val="009923D6"/>
    <w:rsid w:val="00993EBD"/>
    <w:rsid w:val="009951D6"/>
    <w:rsid w:val="00995433"/>
    <w:rsid w:val="00995C57"/>
    <w:rsid w:val="00996146"/>
    <w:rsid w:val="009A00AE"/>
    <w:rsid w:val="009A0AF3"/>
    <w:rsid w:val="009A0F82"/>
    <w:rsid w:val="009A1A7C"/>
    <w:rsid w:val="009A1E95"/>
    <w:rsid w:val="009A36A2"/>
    <w:rsid w:val="009A4136"/>
    <w:rsid w:val="009A443C"/>
    <w:rsid w:val="009A4E65"/>
    <w:rsid w:val="009A50C5"/>
    <w:rsid w:val="009A6BA2"/>
    <w:rsid w:val="009A7362"/>
    <w:rsid w:val="009A7F1A"/>
    <w:rsid w:val="009B07CD"/>
    <w:rsid w:val="009B113E"/>
    <w:rsid w:val="009B16DE"/>
    <w:rsid w:val="009B2074"/>
    <w:rsid w:val="009B2F4A"/>
    <w:rsid w:val="009B4C40"/>
    <w:rsid w:val="009B519E"/>
    <w:rsid w:val="009B6E5C"/>
    <w:rsid w:val="009B70A3"/>
    <w:rsid w:val="009B73A2"/>
    <w:rsid w:val="009C19E9"/>
    <w:rsid w:val="009C2148"/>
    <w:rsid w:val="009C427D"/>
    <w:rsid w:val="009C4B6F"/>
    <w:rsid w:val="009D0363"/>
    <w:rsid w:val="009D0CD3"/>
    <w:rsid w:val="009D13CA"/>
    <w:rsid w:val="009D2C46"/>
    <w:rsid w:val="009D2CB9"/>
    <w:rsid w:val="009D2DA6"/>
    <w:rsid w:val="009D3714"/>
    <w:rsid w:val="009D4FAF"/>
    <w:rsid w:val="009D5E99"/>
    <w:rsid w:val="009D63AB"/>
    <w:rsid w:val="009D7755"/>
    <w:rsid w:val="009D7948"/>
    <w:rsid w:val="009D7C1E"/>
    <w:rsid w:val="009E02E6"/>
    <w:rsid w:val="009E05C2"/>
    <w:rsid w:val="009E079A"/>
    <w:rsid w:val="009E1A17"/>
    <w:rsid w:val="009E29C1"/>
    <w:rsid w:val="009E2AA6"/>
    <w:rsid w:val="009E3C02"/>
    <w:rsid w:val="009E3D1A"/>
    <w:rsid w:val="009E44ED"/>
    <w:rsid w:val="009E4562"/>
    <w:rsid w:val="009E747C"/>
    <w:rsid w:val="009E79BE"/>
    <w:rsid w:val="009F07C1"/>
    <w:rsid w:val="009F10CA"/>
    <w:rsid w:val="009F1AC9"/>
    <w:rsid w:val="009F1F82"/>
    <w:rsid w:val="009F2F08"/>
    <w:rsid w:val="009F59CE"/>
    <w:rsid w:val="009F662E"/>
    <w:rsid w:val="009F69DE"/>
    <w:rsid w:val="009F799D"/>
    <w:rsid w:val="009F7C41"/>
    <w:rsid w:val="009F7E84"/>
    <w:rsid w:val="00A00EC3"/>
    <w:rsid w:val="00A01E72"/>
    <w:rsid w:val="00A03918"/>
    <w:rsid w:val="00A03B42"/>
    <w:rsid w:val="00A05DE2"/>
    <w:rsid w:val="00A067FE"/>
    <w:rsid w:val="00A10F02"/>
    <w:rsid w:val="00A11888"/>
    <w:rsid w:val="00A11D1D"/>
    <w:rsid w:val="00A124F6"/>
    <w:rsid w:val="00A14E25"/>
    <w:rsid w:val="00A15FB2"/>
    <w:rsid w:val="00A16DF1"/>
    <w:rsid w:val="00A170BC"/>
    <w:rsid w:val="00A204CA"/>
    <w:rsid w:val="00A207D2"/>
    <w:rsid w:val="00A20EB7"/>
    <w:rsid w:val="00A215F6"/>
    <w:rsid w:val="00A23966"/>
    <w:rsid w:val="00A23AC0"/>
    <w:rsid w:val="00A242F5"/>
    <w:rsid w:val="00A24321"/>
    <w:rsid w:val="00A25A22"/>
    <w:rsid w:val="00A25F51"/>
    <w:rsid w:val="00A26593"/>
    <w:rsid w:val="00A270B0"/>
    <w:rsid w:val="00A300A0"/>
    <w:rsid w:val="00A30E3E"/>
    <w:rsid w:val="00A31AB2"/>
    <w:rsid w:val="00A31D17"/>
    <w:rsid w:val="00A32493"/>
    <w:rsid w:val="00A32E13"/>
    <w:rsid w:val="00A331FE"/>
    <w:rsid w:val="00A35830"/>
    <w:rsid w:val="00A41E19"/>
    <w:rsid w:val="00A423AE"/>
    <w:rsid w:val="00A42586"/>
    <w:rsid w:val="00A438B4"/>
    <w:rsid w:val="00A43A2E"/>
    <w:rsid w:val="00A44069"/>
    <w:rsid w:val="00A4476C"/>
    <w:rsid w:val="00A44AE9"/>
    <w:rsid w:val="00A45665"/>
    <w:rsid w:val="00A4718F"/>
    <w:rsid w:val="00A5121F"/>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718DA"/>
    <w:rsid w:val="00A721CF"/>
    <w:rsid w:val="00A7247E"/>
    <w:rsid w:val="00A743AC"/>
    <w:rsid w:val="00A74826"/>
    <w:rsid w:val="00A74C06"/>
    <w:rsid w:val="00A74E0E"/>
    <w:rsid w:val="00A75305"/>
    <w:rsid w:val="00A753E1"/>
    <w:rsid w:val="00A76258"/>
    <w:rsid w:val="00A77123"/>
    <w:rsid w:val="00A775DD"/>
    <w:rsid w:val="00A77F59"/>
    <w:rsid w:val="00A80334"/>
    <w:rsid w:val="00A8101D"/>
    <w:rsid w:val="00A82346"/>
    <w:rsid w:val="00A825BF"/>
    <w:rsid w:val="00A826CA"/>
    <w:rsid w:val="00A845B8"/>
    <w:rsid w:val="00A85BB3"/>
    <w:rsid w:val="00A87209"/>
    <w:rsid w:val="00A914AD"/>
    <w:rsid w:val="00A92498"/>
    <w:rsid w:val="00A930E5"/>
    <w:rsid w:val="00A954D8"/>
    <w:rsid w:val="00A9671C"/>
    <w:rsid w:val="00A9769E"/>
    <w:rsid w:val="00A97749"/>
    <w:rsid w:val="00A978E7"/>
    <w:rsid w:val="00AA1553"/>
    <w:rsid w:val="00AA39FE"/>
    <w:rsid w:val="00AA423E"/>
    <w:rsid w:val="00AA4494"/>
    <w:rsid w:val="00AA52B0"/>
    <w:rsid w:val="00AA57EE"/>
    <w:rsid w:val="00AA788E"/>
    <w:rsid w:val="00AA7EC1"/>
    <w:rsid w:val="00AB0409"/>
    <w:rsid w:val="00AB0FA6"/>
    <w:rsid w:val="00AB1408"/>
    <w:rsid w:val="00AB163A"/>
    <w:rsid w:val="00AB17A0"/>
    <w:rsid w:val="00AB1A97"/>
    <w:rsid w:val="00AB1F03"/>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1A25"/>
    <w:rsid w:val="00AD2619"/>
    <w:rsid w:val="00AD48F9"/>
    <w:rsid w:val="00AD4D8C"/>
    <w:rsid w:val="00AD5427"/>
    <w:rsid w:val="00AD5B72"/>
    <w:rsid w:val="00AD7EB7"/>
    <w:rsid w:val="00AE06A4"/>
    <w:rsid w:val="00AE095D"/>
    <w:rsid w:val="00AE1871"/>
    <w:rsid w:val="00AE26C0"/>
    <w:rsid w:val="00AE2AAA"/>
    <w:rsid w:val="00AE32B8"/>
    <w:rsid w:val="00AE35AC"/>
    <w:rsid w:val="00AE488A"/>
    <w:rsid w:val="00AE4A32"/>
    <w:rsid w:val="00AE4D93"/>
    <w:rsid w:val="00AE5998"/>
    <w:rsid w:val="00AE5A3F"/>
    <w:rsid w:val="00AE67B2"/>
    <w:rsid w:val="00AE6C5B"/>
    <w:rsid w:val="00AE7394"/>
    <w:rsid w:val="00AE7935"/>
    <w:rsid w:val="00AF1C7D"/>
    <w:rsid w:val="00AF20A6"/>
    <w:rsid w:val="00AF2778"/>
    <w:rsid w:val="00AF3563"/>
    <w:rsid w:val="00AF3742"/>
    <w:rsid w:val="00AF4907"/>
    <w:rsid w:val="00AF5E5C"/>
    <w:rsid w:val="00AF6272"/>
    <w:rsid w:val="00B002EA"/>
    <w:rsid w:val="00B01C33"/>
    <w:rsid w:val="00B024E5"/>
    <w:rsid w:val="00B033FA"/>
    <w:rsid w:val="00B0343F"/>
    <w:rsid w:val="00B046A0"/>
    <w:rsid w:val="00B04A75"/>
    <w:rsid w:val="00B0648D"/>
    <w:rsid w:val="00B07057"/>
    <w:rsid w:val="00B07AAA"/>
    <w:rsid w:val="00B07C93"/>
    <w:rsid w:val="00B10754"/>
    <w:rsid w:val="00B11743"/>
    <w:rsid w:val="00B1192D"/>
    <w:rsid w:val="00B11CB0"/>
    <w:rsid w:val="00B120D5"/>
    <w:rsid w:val="00B12644"/>
    <w:rsid w:val="00B1514F"/>
    <w:rsid w:val="00B15449"/>
    <w:rsid w:val="00B154C9"/>
    <w:rsid w:val="00B15514"/>
    <w:rsid w:val="00B15627"/>
    <w:rsid w:val="00B15A58"/>
    <w:rsid w:val="00B15ADA"/>
    <w:rsid w:val="00B1608D"/>
    <w:rsid w:val="00B1608F"/>
    <w:rsid w:val="00B170F1"/>
    <w:rsid w:val="00B17279"/>
    <w:rsid w:val="00B204EE"/>
    <w:rsid w:val="00B2397F"/>
    <w:rsid w:val="00B23FAA"/>
    <w:rsid w:val="00B2755F"/>
    <w:rsid w:val="00B27F1A"/>
    <w:rsid w:val="00B30ADA"/>
    <w:rsid w:val="00B331AE"/>
    <w:rsid w:val="00B33E45"/>
    <w:rsid w:val="00B359B7"/>
    <w:rsid w:val="00B36BDD"/>
    <w:rsid w:val="00B40295"/>
    <w:rsid w:val="00B40C67"/>
    <w:rsid w:val="00B41A18"/>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4F95"/>
    <w:rsid w:val="00B65C3F"/>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1A64"/>
    <w:rsid w:val="00B95A27"/>
    <w:rsid w:val="00B9609C"/>
    <w:rsid w:val="00B96CCF"/>
    <w:rsid w:val="00B97C71"/>
    <w:rsid w:val="00B97CBC"/>
    <w:rsid w:val="00BA13FD"/>
    <w:rsid w:val="00BA143F"/>
    <w:rsid w:val="00BA2ABC"/>
    <w:rsid w:val="00BA3230"/>
    <w:rsid w:val="00BA37B5"/>
    <w:rsid w:val="00BA3913"/>
    <w:rsid w:val="00BA601F"/>
    <w:rsid w:val="00BA6B3D"/>
    <w:rsid w:val="00BA7FDD"/>
    <w:rsid w:val="00BB00B6"/>
    <w:rsid w:val="00BB1993"/>
    <w:rsid w:val="00BB1D64"/>
    <w:rsid w:val="00BB5E22"/>
    <w:rsid w:val="00BB5F7A"/>
    <w:rsid w:val="00BB69C4"/>
    <w:rsid w:val="00BC02B4"/>
    <w:rsid w:val="00BC07C5"/>
    <w:rsid w:val="00BC136A"/>
    <w:rsid w:val="00BC175D"/>
    <w:rsid w:val="00BC1BBC"/>
    <w:rsid w:val="00BC1C99"/>
    <w:rsid w:val="00BC2D6C"/>
    <w:rsid w:val="00BC36DA"/>
    <w:rsid w:val="00BC3A5F"/>
    <w:rsid w:val="00BC41B5"/>
    <w:rsid w:val="00BC44C5"/>
    <w:rsid w:val="00BC56E3"/>
    <w:rsid w:val="00BC5A4D"/>
    <w:rsid w:val="00BC7783"/>
    <w:rsid w:val="00BD091C"/>
    <w:rsid w:val="00BD1631"/>
    <w:rsid w:val="00BD31D3"/>
    <w:rsid w:val="00BD3E9E"/>
    <w:rsid w:val="00BD55FC"/>
    <w:rsid w:val="00BD605F"/>
    <w:rsid w:val="00BD6273"/>
    <w:rsid w:val="00BD67B1"/>
    <w:rsid w:val="00BD7C63"/>
    <w:rsid w:val="00BE33DD"/>
    <w:rsid w:val="00BE35E2"/>
    <w:rsid w:val="00BE5261"/>
    <w:rsid w:val="00BE7500"/>
    <w:rsid w:val="00BE7B3F"/>
    <w:rsid w:val="00BF0258"/>
    <w:rsid w:val="00BF2DF0"/>
    <w:rsid w:val="00BF2E14"/>
    <w:rsid w:val="00BF2ECB"/>
    <w:rsid w:val="00BF4416"/>
    <w:rsid w:val="00BF449E"/>
    <w:rsid w:val="00BF46D7"/>
    <w:rsid w:val="00BF49E1"/>
    <w:rsid w:val="00BF4DCB"/>
    <w:rsid w:val="00BF5561"/>
    <w:rsid w:val="00BF630D"/>
    <w:rsid w:val="00BF6EB6"/>
    <w:rsid w:val="00C00AC9"/>
    <w:rsid w:val="00C01E8E"/>
    <w:rsid w:val="00C03D2D"/>
    <w:rsid w:val="00C042E6"/>
    <w:rsid w:val="00C04823"/>
    <w:rsid w:val="00C07B22"/>
    <w:rsid w:val="00C07D96"/>
    <w:rsid w:val="00C10DF1"/>
    <w:rsid w:val="00C12B51"/>
    <w:rsid w:val="00C13DC1"/>
    <w:rsid w:val="00C14766"/>
    <w:rsid w:val="00C15264"/>
    <w:rsid w:val="00C15795"/>
    <w:rsid w:val="00C16357"/>
    <w:rsid w:val="00C17978"/>
    <w:rsid w:val="00C2032B"/>
    <w:rsid w:val="00C20E9C"/>
    <w:rsid w:val="00C230AE"/>
    <w:rsid w:val="00C2350A"/>
    <w:rsid w:val="00C235C7"/>
    <w:rsid w:val="00C23FA7"/>
    <w:rsid w:val="00C2443C"/>
    <w:rsid w:val="00C24650"/>
    <w:rsid w:val="00C2597A"/>
    <w:rsid w:val="00C25AAF"/>
    <w:rsid w:val="00C26782"/>
    <w:rsid w:val="00C271AA"/>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659"/>
    <w:rsid w:val="00C43926"/>
    <w:rsid w:val="00C4443E"/>
    <w:rsid w:val="00C44D2F"/>
    <w:rsid w:val="00C46BDB"/>
    <w:rsid w:val="00C47D2D"/>
    <w:rsid w:val="00C47F3D"/>
    <w:rsid w:val="00C519F0"/>
    <w:rsid w:val="00C51D27"/>
    <w:rsid w:val="00C54E61"/>
    <w:rsid w:val="00C556FB"/>
    <w:rsid w:val="00C613BA"/>
    <w:rsid w:val="00C614CA"/>
    <w:rsid w:val="00C614FA"/>
    <w:rsid w:val="00C61F21"/>
    <w:rsid w:val="00C62547"/>
    <w:rsid w:val="00C6309C"/>
    <w:rsid w:val="00C63220"/>
    <w:rsid w:val="00C6391F"/>
    <w:rsid w:val="00C64F82"/>
    <w:rsid w:val="00C65F6D"/>
    <w:rsid w:val="00C65FAE"/>
    <w:rsid w:val="00C706C3"/>
    <w:rsid w:val="00C7087A"/>
    <w:rsid w:val="00C709E8"/>
    <w:rsid w:val="00C72837"/>
    <w:rsid w:val="00C74A64"/>
    <w:rsid w:val="00C74A7B"/>
    <w:rsid w:val="00C768BB"/>
    <w:rsid w:val="00C773BD"/>
    <w:rsid w:val="00C810FF"/>
    <w:rsid w:val="00C81614"/>
    <w:rsid w:val="00C8235D"/>
    <w:rsid w:val="00C8253A"/>
    <w:rsid w:val="00C8368A"/>
    <w:rsid w:val="00C83A13"/>
    <w:rsid w:val="00C844E3"/>
    <w:rsid w:val="00C85572"/>
    <w:rsid w:val="00C86C11"/>
    <w:rsid w:val="00C86F3E"/>
    <w:rsid w:val="00C903F3"/>
    <w:rsid w:val="00C9068C"/>
    <w:rsid w:val="00C91051"/>
    <w:rsid w:val="00C9285D"/>
    <w:rsid w:val="00C92967"/>
    <w:rsid w:val="00C92E26"/>
    <w:rsid w:val="00C9499A"/>
    <w:rsid w:val="00C96B13"/>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8FB"/>
    <w:rsid w:val="00CB192D"/>
    <w:rsid w:val="00CB20EE"/>
    <w:rsid w:val="00CB2B2C"/>
    <w:rsid w:val="00CB44E1"/>
    <w:rsid w:val="00CB474B"/>
    <w:rsid w:val="00CB66FE"/>
    <w:rsid w:val="00CB7094"/>
    <w:rsid w:val="00CC05BA"/>
    <w:rsid w:val="00CC1A63"/>
    <w:rsid w:val="00CC1F68"/>
    <w:rsid w:val="00CC365E"/>
    <w:rsid w:val="00CD0243"/>
    <w:rsid w:val="00CD1CFE"/>
    <w:rsid w:val="00CD3130"/>
    <w:rsid w:val="00CD3BFC"/>
    <w:rsid w:val="00CD3E58"/>
    <w:rsid w:val="00CD4A61"/>
    <w:rsid w:val="00CD4C7B"/>
    <w:rsid w:val="00CD6435"/>
    <w:rsid w:val="00CD78CC"/>
    <w:rsid w:val="00CD7A09"/>
    <w:rsid w:val="00CE054B"/>
    <w:rsid w:val="00CE0B46"/>
    <w:rsid w:val="00CE3213"/>
    <w:rsid w:val="00CE3BD1"/>
    <w:rsid w:val="00CE3E5A"/>
    <w:rsid w:val="00CE476C"/>
    <w:rsid w:val="00CF07F5"/>
    <w:rsid w:val="00CF2073"/>
    <w:rsid w:val="00CF2C9F"/>
    <w:rsid w:val="00CF3AFC"/>
    <w:rsid w:val="00CF5B76"/>
    <w:rsid w:val="00CF77AE"/>
    <w:rsid w:val="00D00033"/>
    <w:rsid w:val="00D00174"/>
    <w:rsid w:val="00D01448"/>
    <w:rsid w:val="00D015EF"/>
    <w:rsid w:val="00D0310E"/>
    <w:rsid w:val="00D03911"/>
    <w:rsid w:val="00D04103"/>
    <w:rsid w:val="00D048E7"/>
    <w:rsid w:val="00D05C9E"/>
    <w:rsid w:val="00D077BD"/>
    <w:rsid w:val="00D1078C"/>
    <w:rsid w:val="00D10BF9"/>
    <w:rsid w:val="00D133BA"/>
    <w:rsid w:val="00D14063"/>
    <w:rsid w:val="00D14AF8"/>
    <w:rsid w:val="00D16129"/>
    <w:rsid w:val="00D177F8"/>
    <w:rsid w:val="00D17A63"/>
    <w:rsid w:val="00D20104"/>
    <w:rsid w:val="00D20E7D"/>
    <w:rsid w:val="00D23786"/>
    <w:rsid w:val="00D25A7F"/>
    <w:rsid w:val="00D26AA2"/>
    <w:rsid w:val="00D27E3D"/>
    <w:rsid w:val="00D303B7"/>
    <w:rsid w:val="00D3258F"/>
    <w:rsid w:val="00D33118"/>
    <w:rsid w:val="00D33715"/>
    <w:rsid w:val="00D34B1E"/>
    <w:rsid w:val="00D353C2"/>
    <w:rsid w:val="00D402F5"/>
    <w:rsid w:val="00D41585"/>
    <w:rsid w:val="00D42844"/>
    <w:rsid w:val="00D43109"/>
    <w:rsid w:val="00D44328"/>
    <w:rsid w:val="00D450E9"/>
    <w:rsid w:val="00D475D7"/>
    <w:rsid w:val="00D47FB9"/>
    <w:rsid w:val="00D50476"/>
    <w:rsid w:val="00D50FAB"/>
    <w:rsid w:val="00D53F4D"/>
    <w:rsid w:val="00D548D7"/>
    <w:rsid w:val="00D54EF9"/>
    <w:rsid w:val="00D5621D"/>
    <w:rsid w:val="00D562B4"/>
    <w:rsid w:val="00D57B51"/>
    <w:rsid w:val="00D6117F"/>
    <w:rsid w:val="00D62E82"/>
    <w:rsid w:val="00D63BB4"/>
    <w:rsid w:val="00D641AE"/>
    <w:rsid w:val="00D646DB"/>
    <w:rsid w:val="00D64B2D"/>
    <w:rsid w:val="00D66F34"/>
    <w:rsid w:val="00D679C7"/>
    <w:rsid w:val="00D7053B"/>
    <w:rsid w:val="00D7283D"/>
    <w:rsid w:val="00D738D6"/>
    <w:rsid w:val="00D73F4E"/>
    <w:rsid w:val="00D742F4"/>
    <w:rsid w:val="00D745FD"/>
    <w:rsid w:val="00D74B60"/>
    <w:rsid w:val="00D75638"/>
    <w:rsid w:val="00D75BA6"/>
    <w:rsid w:val="00D76EF8"/>
    <w:rsid w:val="00D80795"/>
    <w:rsid w:val="00D80F5E"/>
    <w:rsid w:val="00D82DC3"/>
    <w:rsid w:val="00D8694E"/>
    <w:rsid w:val="00D870B2"/>
    <w:rsid w:val="00D87A08"/>
    <w:rsid w:val="00D87E00"/>
    <w:rsid w:val="00D90131"/>
    <w:rsid w:val="00D90718"/>
    <w:rsid w:val="00D90AA4"/>
    <w:rsid w:val="00D9134D"/>
    <w:rsid w:val="00D91BCA"/>
    <w:rsid w:val="00D92356"/>
    <w:rsid w:val="00D92B08"/>
    <w:rsid w:val="00D9549B"/>
    <w:rsid w:val="00D95AF8"/>
    <w:rsid w:val="00D95F4A"/>
    <w:rsid w:val="00D960A1"/>
    <w:rsid w:val="00D96D11"/>
    <w:rsid w:val="00DA046B"/>
    <w:rsid w:val="00DA0867"/>
    <w:rsid w:val="00DA1584"/>
    <w:rsid w:val="00DA1E58"/>
    <w:rsid w:val="00DA2930"/>
    <w:rsid w:val="00DA432D"/>
    <w:rsid w:val="00DA4533"/>
    <w:rsid w:val="00DA4D40"/>
    <w:rsid w:val="00DA5616"/>
    <w:rsid w:val="00DA5CBB"/>
    <w:rsid w:val="00DA5F98"/>
    <w:rsid w:val="00DA7A03"/>
    <w:rsid w:val="00DB033E"/>
    <w:rsid w:val="00DB1818"/>
    <w:rsid w:val="00DB276F"/>
    <w:rsid w:val="00DB2B5D"/>
    <w:rsid w:val="00DB4248"/>
    <w:rsid w:val="00DB4BA8"/>
    <w:rsid w:val="00DB6E8D"/>
    <w:rsid w:val="00DB72F8"/>
    <w:rsid w:val="00DC109F"/>
    <w:rsid w:val="00DC1746"/>
    <w:rsid w:val="00DC17FD"/>
    <w:rsid w:val="00DC2D95"/>
    <w:rsid w:val="00DC309B"/>
    <w:rsid w:val="00DC41E9"/>
    <w:rsid w:val="00DC4DA2"/>
    <w:rsid w:val="00DC50B4"/>
    <w:rsid w:val="00DC5480"/>
    <w:rsid w:val="00DC5F65"/>
    <w:rsid w:val="00DC659E"/>
    <w:rsid w:val="00DC7854"/>
    <w:rsid w:val="00DD06F0"/>
    <w:rsid w:val="00DD102D"/>
    <w:rsid w:val="00DD3000"/>
    <w:rsid w:val="00DD43BA"/>
    <w:rsid w:val="00DD4A4E"/>
    <w:rsid w:val="00DD4F00"/>
    <w:rsid w:val="00DD5312"/>
    <w:rsid w:val="00DD5517"/>
    <w:rsid w:val="00DD70FA"/>
    <w:rsid w:val="00DD722F"/>
    <w:rsid w:val="00DE0D91"/>
    <w:rsid w:val="00DE17D1"/>
    <w:rsid w:val="00DE44B0"/>
    <w:rsid w:val="00DE4A98"/>
    <w:rsid w:val="00DE56A5"/>
    <w:rsid w:val="00DF08B7"/>
    <w:rsid w:val="00DF2B7B"/>
    <w:rsid w:val="00DF5B0C"/>
    <w:rsid w:val="00E0098E"/>
    <w:rsid w:val="00E00BFE"/>
    <w:rsid w:val="00E01175"/>
    <w:rsid w:val="00E02F6A"/>
    <w:rsid w:val="00E03198"/>
    <w:rsid w:val="00E035F9"/>
    <w:rsid w:val="00E03A46"/>
    <w:rsid w:val="00E03F18"/>
    <w:rsid w:val="00E0415B"/>
    <w:rsid w:val="00E06135"/>
    <w:rsid w:val="00E062E3"/>
    <w:rsid w:val="00E0633B"/>
    <w:rsid w:val="00E074C7"/>
    <w:rsid w:val="00E079E6"/>
    <w:rsid w:val="00E113C0"/>
    <w:rsid w:val="00E133F2"/>
    <w:rsid w:val="00E211B2"/>
    <w:rsid w:val="00E23537"/>
    <w:rsid w:val="00E24818"/>
    <w:rsid w:val="00E250F4"/>
    <w:rsid w:val="00E25BEF"/>
    <w:rsid w:val="00E25C19"/>
    <w:rsid w:val="00E26380"/>
    <w:rsid w:val="00E30372"/>
    <w:rsid w:val="00E307FC"/>
    <w:rsid w:val="00E311A0"/>
    <w:rsid w:val="00E313B9"/>
    <w:rsid w:val="00E31932"/>
    <w:rsid w:val="00E31E89"/>
    <w:rsid w:val="00E323D4"/>
    <w:rsid w:val="00E33147"/>
    <w:rsid w:val="00E34168"/>
    <w:rsid w:val="00E35793"/>
    <w:rsid w:val="00E36407"/>
    <w:rsid w:val="00E4026E"/>
    <w:rsid w:val="00E40E41"/>
    <w:rsid w:val="00E42D93"/>
    <w:rsid w:val="00E43DB9"/>
    <w:rsid w:val="00E448A1"/>
    <w:rsid w:val="00E45DC0"/>
    <w:rsid w:val="00E4673B"/>
    <w:rsid w:val="00E50281"/>
    <w:rsid w:val="00E50F6F"/>
    <w:rsid w:val="00E51DC4"/>
    <w:rsid w:val="00E539D7"/>
    <w:rsid w:val="00E539FD"/>
    <w:rsid w:val="00E54361"/>
    <w:rsid w:val="00E546AB"/>
    <w:rsid w:val="00E54AF6"/>
    <w:rsid w:val="00E55DCB"/>
    <w:rsid w:val="00E56C73"/>
    <w:rsid w:val="00E56EEF"/>
    <w:rsid w:val="00E60CAF"/>
    <w:rsid w:val="00E615F5"/>
    <w:rsid w:val="00E61B39"/>
    <w:rsid w:val="00E62835"/>
    <w:rsid w:val="00E6425A"/>
    <w:rsid w:val="00E64523"/>
    <w:rsid w:val="00E6528D"/>
    <w:rsid w:val="00E6683D"/>
    <w:rsid w:val="00E7041F"/>
    <w:rsid w:val="00E7056E"/>
    <w:rsid w:val="00E70A06"/>
    <w:rsid w:val="00E71694"/>
    <w:rsid w:val="00E730C7"/>
    <w:rsid w:val="00E73610"/>
    <w:rsid w:val="00E73923"/>
    <w:rsid w:val="00E751E7"/>
    <w:rsid w:val="00E76317"/>
    <w:rsid w:val="00E76946"/>
    <w:rsid w:val="00E769AC"/>
    <w:rsid w:val="00E77645"/>
    <w:rsid w:val="00E77925"/>
    <w:rsid w:val="00E77976"/>
    <w:rsid w:val="00E77AE3"/>
    <w:rsid w:val="00E77E21"/>
    <w:rsid w:val="00E810BF"/>
    <w:rsid w:val="00E82DA4"/>
    <w:rsid w:val="00E83697"/>
    <w:rsid w:val="00E83810"/>
    <w:rsid w:val="00E84686"/>
    <w:rsid w:val="00E854D4"/>
    <w:rsid w:val="00E855F7"/>
    <w:rsid w:val="00E858CD"/>
    <w:rsid w:val="00E870A0"/>
    <w:rsid w:val="00E91487"/>
    <w:rsid w:val="00E91DDC"/>
    <w:rsid w:val="00E925C9"/>
    <w:rsid w:val="00E92B2F"/>
    <w:rsid w:val="00E9444B"/>
    <w:rsid w:val="00E94784"/>
    <w:rsid w:val="00E94C85"/>
    <w:rsid w:val="00EA00A8"/>
    <w:rsid w:val="00EA0AAF"/>
    <w:rsid w:val="00EA1DC3"/>
    <w:rsid w:val="00EA1ED6"/>
    <w:rsid w:val="00EA3CAE"/>
    <w:rsid w:val="00EA42F1"/>
    <w:rsid w:val="00EA6CB4"/>
    <w:rsid w:val="00EB2AF5"/>
    <w:rsid w:val="00EB4566"/>
    <w:rsid w:val="00EB4E5D"/>
    <w:rsid w:val="00EB564C"/>
    <w:rsid w:val="00EB5844"/>
    <w:rsid w:val="00EB5E5A"/>
    <w:rsid w:val="00EB7699"/>
    <w:rsid w:val="00EC09A8"/>
    <w:rsid w:val="00EC0A5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227C"/>
    <w:rsid w:val="00ED3452"/>
    <w:rsid w:val="00ED43A5"/>
    <w:rsid w:val="00ED4D2D"/>
    <w:rsid w:val="00EE0C7B"/>
    <w:rsid w:val="00EE1512"/>
    <w:rsid w:val="00EE217F"/>
    <w:rsid w:val="00EE4120"/>
    <w:rsid w:val="00EE43CC"/>
    <w:rsid w:val="00EE44AD"/>
    <w:rsid w:val="00EE4E67"/>
    <w:rsid w:val="00EE728D"/>
    <w:rsid w:val="00EE78CE"/>
    <w:rsid w:val="00EE7D61"/>
    <w:rsid w:val="00EF13DA"/>
    <w:rsid w:val="00EF1E0A"/>
    <w:rsid w:val="00EF267F"/>
    <w:rsid w:val="00EF2758"/>
    <w:rsid w:val="00EF2F1F"/>
    <w:rsid w:val="00EF4E32"/>
    <w:rsid w:val="00EF737D"/>
    <w:rsid w:val="00F0140F"/>
    <w:rsid w:val="00F025A2"/>
    <w:rsid w:val="00F04C08"/>
    <w:rsid w:val="00F04C45"/>
    <w:rsid w:val="00F05D71"/>
    <w:rsid w:val="00F06F0B"/>
    <w:rsid w:val="00F07388"/>
    <w:rsid w:val="00F07FD6"/>
    <w:rsid w:val="00F11C9F"/>
    <w:rsid w:val="00F11D6B"/>
    <w:rsid w:val="00F12B8B"/>
    <w:rsid w:val="00F16672"/>
    <w:rsid w:val="00F17066"/>
    <w:rsid w:val="00F2026E"/>
    <w:rsid w:val="00F20B49"/>
    <w:rsid w:val="00F20C7B"/>
    <w:rsid w:val="00F22078"/>
    <w:rsid w:val="00F2210A"/>
    <w:rsid w:val="00F22362"/>
    <w:rsid w:val="00F24379"/>
    <w:rsid w:val="00F2476E"/>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39B7"/>
    <w:rsid w:val="00F44FCE"/>
    <w:rsid w:val="00F47078"/>
    <w:rsid w:val="00F4731F"/>
    <w:rsid w:val="00F47D33"/>
    <w:rsid w:val="00F50F32"/>
    <w:rsid w:val="00F52DBE"/>
    <w:rsid w:val="00F53A9A"/>
    <w:rsid w:val="00F53AAD"/>
    <w:rsid w:val="00F53C8B"/>
    <w:rsid w:val="00F5490A"/>
    <w:rsid w:val="00F54A3D"/>
    <w:rsid w:val="00F54F7D"/>
    <w:rsid w:val="00F572EF"/>
    <w:rsid w:val="00F57BF9"/>
    <w:rsid w:val="00F62456"/>
    <w:rsid w:val="00F6252C"/>
    <w:rsid w:val="00F653B8"/>
    <w:rsid w:val="00F662A3"/>
    <w:rsid w:val="00F66E5B"/>
    <w:rsid w:val="00F67AF6"/>
    <w:rsid w:val="00F705E6"/>
    <w:rsid w:val="00F71B89"/>
    <w:rsid w:val="00F72FFB"/>
    <w:rsid w:val="00F7353C"/>
    <w:rsid w:val="00F74FB5"/>
    <w:rsid w:val="00F75B5F"/>
    <w:rsid w:val="00F76050"/>
    <w:rsid w:val="00F76F8F"/>
    <w:rsid w:val="00F777E4"/>
    <w:rsid w:val="00F8062F"/>
    <w:rsid w:val="00F80C4B"/>
    <w:rsid w:val="00F80F72"/>
    <w:rsid w:val="00F81496"/>
    <w:rsid w:val="00F8151C"/>
    <w:rsid w:val="00F83135"/>
    <w:rsid w:val="00F84AD1"/>
    <w:rsid w:val="00F84FBB"/>
    <w:rsid w:val="00F8529B"/>
    <w:rsid w:val="00F8570F"/>
    <w:rsid w:val="00F8639A"/>
    <w:rsid w:val="00F86752"/>
    <w:rsid w:val="00F91EFD"/>
    <w:rsid w:val="00F941A4"/>
    <w:rsid w:val="00F965DB"/>
    <w:rsid w:val="00F96A7A"/>
    <w:rsid w:val="00F96CF4"/>
    <w:rsid w:val="00F971CB"/>
    <w:rsid w:val="00F97573"/>
    <w:rsid w:val="00F97D6E"/>
    <w:rsid w:val="00FA0274"/>
    <w:rsid w:val="00FA0D44"/>
    <w:rsid w:val="00FA1266"/>
    <w:rsid w:val="00FA1C5C"/>
    <w:rsid w:val="00FA22EE"/>
    <w:rsid w:val="00FA2EA8"/>
    <w:rsid w:val="00FA3C09"/>
    <w:rsid w:val="00FA4BA7"/>
    <w:rsid w:val="00FA6B50"/>
    <w:rsid w:val="00FA7156"/>
    <w:rsid w:val="00FA760F"/>
    <w:rsid w:val="00FA7A0F"/>
    <w:rsid w:val="00FB0844"/>
    <w:rsid w:val="00FB11CA"/>
    <w:rsid w:val="00FB16A0"/>
    <w:rsid w:val="00FB1ACE"/>
    <w:rsid w:val="00FB1FDF"/>
    <w:rsid w:val="00FB4507"/>
    <w:rsid w:val="00FB46CA"/>
    <w:rsid w:val="00FB5C29"/>
    <w:rsid w:val="00FB608B"/>
    <w:rsid w:val="00FB69F2"/>
    <w:rsid w:val="00FC0B77"/>
    <w:rsid w:val="00FC1192"/>
    <w:rsid w:val="00FC18C5"/>
    <w:rsid w:val="00FC40D3"/>
    <w:rsid w:val="00FC5026"/>
    <w:rsid w:val="00FC5133"/>
    <w:rsid w:val="00FC5D94"/>
    <w:rsid w:val="00FC63B6"/>
    <w:rsid w:val="00FC77D8"/>
    <w:rsid w:val="00FD03E5"/>
    <w:rsid w:val="00FD187E"/>
    <w:rsid w:val="00FD1FA7"/>
    <w:rsid w:val="00FD2CBF"/>
    <w:rsid w:val="00FD3E22"/>
    <w:rsid w:val="00FD4EDD"/>
    <w:rsid w:val="00FD55F1"/>
    <w:rsid w:val="00FD689E"/>
    <w:rsid w:val="00FD6C43"/>
    <w:rsid w:val="00FD7778"/>
    <w:rsid w:val="00FD7FDF"/>
    <w:rsid w:val="00FE060D"/>
    <w:rsid w:val="00FE0DB2"/>
    <w:rsid w:val="00FE55FB"/>
    <w:rsid w:val="00FE5909"/>
    <w:rsid w:val="00FF0142"/>
    <w:rsid w:val="00FF05DE"/>
    <w:rsid w:val="00FF0BC3"/>
    <w:rsid w:val="00FF122E"/>
    <w:rsid w:val="00FF123B"/>
    <w:rsid w:val="00FF1498"/>
    <w:rsid w:val="00FF3826"/>
    <w:rsid w:val="00FF3C83"/>
    <w:rsid w:val="00FF4802"/>
    <w:rsid w:val="00FF4FF4"/>
    <w:rsid w:val="00FF5002"/>
    <w:rsid w:val="00FF5FDE"/>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 w:type="character" w:customStyle="1" w:styleId="B1Zchn">
    <w:name w:val="B1 Zchn"/>
    <w:qFormat/>
    <w:rsid w:val="00F47D33"/>
    <w:rPr>
      <w:lang w:val="en-GB"/>
    </w:rPr>
  </w:style>
  <w:style w:type="character" w:customStyle="1" w:styleId="B1Char">
    <w:name w:val="B1 Char"/>
    <w:link w:val="B1"/>
    <w:rsid w:val="003E04BB"/>
    <w:rPr>
      <w:lang w:val="en-GB"/>
    </w:rPr>
  </w:style>
  <w:style w:type="character" w:customStyle="1" w:styleId="B1Char1">
    <w:name w:val="B1 Char1"/>
    <w:qFormat/>
    <w:rsid w:val="0038587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5563073">
      <w:bodyDiv w:val="1"/>
      <w:marLeft w:val="0"/>
      <w:marRight w:val="0"/>
      <w:marTop w:val="0"/>
      <w:marBottom w:val="0"/>
      <w:divBdr>
        <w:top w:val="none" w:sz="0" w:space="0" w:color="auto"/>
        <w:left w:val="none" w:sz="0" w:space="0" w:color="auto"/>
        <w:bottom w:val="none" w:sz="0" w:space="0" w:color="auto"/>
        <w:right w:val="none" w:sz="0" w:space="0" w:color="auto"/>
      </w:divBdr>
      <w:divsChild>
        <w:div w:id="2057503595">
          <w:marLeft w:val="547"/>
          <w:marRight w:val="0"/>
          <w:marTop w:val="288"/>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85333532">
      <w:bodyDiv w:val="1"/>
      <w:marLeft w:val="0"/>
      <w:marRight w:val="0"/>
      <w:marTop w:val="0"/>
      <w:marBottom w:val="0"/>
      <w:divBdr>
        <w:top w:val="none" w:sz="0" w:space="0" w:color="auto"/>
        <w:left w:val="none" w:sz="0" w:space="0" w:color="auto"/>
        <w:bottom w:val="none" w:sz="0" w:space="0" w:color="auto"/>
        <w:right w:val="none" w:sz="0" w:space="0" w:color="auto"/>
      </w:divBdr>
      <w:divsChild>
        <w:div w:id="564411137">
          <w:marLeft w:val="547"/>
          <w:marRight w:val="0"/>
          <w:marTop w:val="240"/>
          <w:marBottom w:val="0"/>
          <w:divBdr>
            <w:top w:val="none" w:sz="0" w:space="0" w:color="auto"/>
            <w:left w:val="none" w:sz="0" w:space="0" w:color="auto"/>
            <w:bottom w:val="none" w:sz="0" w:space="0" w:color="auto"/>
            <w:right w:val="none" w:sz="0" w:space="0" w:color="auto"/>
          </w:divBdr>
        </w:div>
        <w:div w:id="1884901907">
          <w:marLeft w:val="547"/>
          <w:marRight w:val="0"/>
          <w:marTop w:val="240"/>
          <w:marBottom w:val="0"/>
          <w:divBdr>
            <w:top w:val="none" w:sz="0" w:space="0" w:color="auto"/>
            <w:left w:val="none" w:sz="0" w:space="0" w:color="auto"/>
            <w:bottom w:val="none" w:sz="0" w:space="0" w:color="auto"/>
            <w:right w:val="none" w:sz="0" w:space="0" w:color="auto"/>
          </w:divBdr>
        </w:div>
      </w:divsChild>
    </w:div>
    <w:div w:id="977682466">
      <w:bodyDiv w:val="1"/>
      <w:marLeft w:val="0"/>
      <w:marRight w:val="0"/>
      <w:marTop w:val="0"/>
      <w:marBottom w:val="0"/>
      <w:divBdr>
        <w:top w:val="none" w:sz="0" w:space="0" w:color="auto"/>
        <w:left w:val="none" w:sz="0" w:space="0" w:color="auto"/>
        <w:bottom w:val="none" w:sz="0" w:space="0" w:color="auto"/>
        <w:right w:val="none" w:sz="0" w:space="0" w:color="auto"/>
      </w:divBdr>
      <w:divsChild>
        <w:div w:id="801533901">
          <w:marLeft w:val="547"/>
          <w:marRight w:val="0"/>
          <w:marTop w:val="288"/>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5001317">
      <w:bodyDiv w:val="1"/>
      <w:marLeft w:val="0"/>
      <w:marRight w:val="0"/>
      <w:marTop w:val="0"/>
      <w:marBottom w:val="0"/>
      <w:divBdr>
        <w:top w:val="none" w:sz="0" w:space="0" w:color="auto"/>
        <w:left w:val="none" w:sz="0" w:space="0" w:color="auto"/>
        <w:bottom w:val="none" w:sz="0" w:space="0" w:color="auto"/>
        <w:right w:val="none" w:sz="0" w:space="0" w:color="auto"/>
      </w:divBdr>
      <w:divsChild>
        <w:div w:id="1551917431">
          <w:marLeft w:val="547"/>
          <w:marRight w:val="0"/>
          <w:marTop w:val="240"/>
          <w:marBottom w:val="0"/>
          <w:divBdr>
            <w:top w:val="none" w:sz="0" w:space="0" w:color="auto"/>
            <w:left w:val="none" w:sz="0" w:space="0" w:color="auto"/>
            <w:bottom w:val="none" w:sz="0" w:space="0" w:color="auto"/>
            <w:right w:val="none" w:sz="0" w:space="0" w:color="auto"/>
          </w:divBdr>
        </w:div>
        <w:div w:id="1840658462">
          <w:marLeft w:val="1166"/>
          <w:marRight w:val="0"/>
          <w:marTop w:val="96"/>
          <w:marBottom w:val="0"/>
          <w:divBdr>
            <w:top w:val="none" w:sz="0" w:space="0" w:color="auto"/>
            <w:left w:val="none" w:sz="0" w:space="0" w:color="auto"/>
            <w:bottom w:val="none" w:sz="0" w:space="0" w:color="auto"/>
            <w:right w:val="none" w:sz="0" w:space="0" w:color="auto"/>
          </w:divBdr>
        </w:div>
        <w:div w:id="51540380">
          <w:marLeft w:val="547"/>
          <w:marRight w:val="0"/>
          <w:marTop w:val="240"/>
          <w:marBottom w:val="0"/>
          <w:divBdr>
            <w:top w:val="none" w:sz="0" w:space="0" w:color="auto"/>
            <w:left w:val="none" w:sz="0" w:space="0" w:color="auto"/>
            <w:bottom w:val="none" w:sz="0" w:space="0" w:color="auto"/>
            <w:right w:val="none" w:sz="0" w:space="0" w:color="auto"/>
          </w:divBdr>
        </w:div>
        <w:div w:id="83376679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cp:lastModifiedBy>
  <cp:revision>2</cp:revision>
  <dcterms:created xsi:type="dcterms:W3CDTF">2023-09-28T16:36:00Z</dcterms:created>
  <dcterms:modified xsi:type="dcterms:W3CDTF">2023-09-28T16:36:00Z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